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D30C" w14:textId="371B5320" w:rsidR="00367B20" w:rsidRPr="008A6125" w:rsidRDefault="00367B20" w:rsidP="00367B20">
      <w:pPr>
        <w:shd w:val="clear" w:color="auto" w:fill="FFFFFF"/>
        <w:spacing w:before="480" w:after="480" w:line="480" w:lineRule="atLeast"/>
        <w:contextualSpacing/>
        <w:jc w:val="center"/>
        <w:outlineLvl w:val="5"/>
        <w:rPr>
          <w:rFonts w:eastAsia="Times New Roman" w:cstheme="minorHAnsi"/>
          <w:b/>
          <w:bCs/>
          <w:caps/>
          <w:color w:val="2F2F2F"/>
          <w:sz w:val="24"/>
          <w:szCs w:val="24"/>
        </w:rPr>
      </w:pPr>
      <w:r w:rsidRPr="00367B20">
        <w:rPr>
          <w:rFonts w:eastAsia="Times New Roman" w:cstheme="minorHAnsi"/>
          <w:b/>
          <w:bCs/>
          <w:caps/>
          <w:color w:val="2F2F2F"/>
          <w:sz w:val="24"/>
          <w:szCs w:val="24"/>
        </w:rPr>
        <w:t>TRAUMA NURSE ORIENTATION COURSE – SAMPLE COURSE AGENDA</w:t>
      </w:r>
    </w:p>
    <w:p w14:paraId="2E50BD2E" w14:textId="77777777" w:rsidR="00367B20" w:rsidRPr="00367B20" w:rsidRDefault="00367B20" w:rsidP="00367B20">
      <w:pPr>
        <w:shd w:val="clear" w:color="auto" w:fill="FFFFFF"/>
        <w:spacing w:before="480" w:after="480" w:line="480" w:lineRule="atLeast"/>
        <w:contextualSpacing/>
        <w:jc w:val="center"/>
        <w:outlineLvl w:val="5"/>
        <w:rPr>
          <w:rFonts w:eastAsia="Times New Roman" w:cstheme="minorHAnsi"/>
          <w:b/>
          <w:bCs/>
          <w:color w:val="2F2F2F"/>
          <w:sz w:val="24"/>
          <w:szCs w:val="24"/>
        </w:rPr>
      </w:pPr>
    </w:p>
    <w:p w14:paraId="1BDE53CB" w14:textId="7F8439B5" w:rsidR="00367B20" w:rsidRPr="008A6125"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This course consists of three days of classroom lectures/hands-on skills, as well as six (6) online modules. The topics of the course are listed below.  The order of presentations may vary.</w:t>
      </w:r>
    </w:p>
    <w:p w14:paraId="0EA6E03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p>
    <w:p w14:paraId="3B4163D2"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b/>
          <w:bCs/>
          <w:color w:val="2F2F2F"/>
          <w:sz w:val="24"/>
          <w:szCs w:val="24"/>
          <w:u w:val="single"/>
        </w:rPr>
        <w:t>DAY 1 – CLASSROOM INSTRUCTION 8:00 AM – 4:30 PM</w:t>
      </w:r>
    </w:p>
    <w:p w14:paraId="569F374B"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8:00 – 8:30          Introduction</w:t>
      </w:r>
    </w:p>
    <w:p w14:paraId="35192771"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8:30 – 9:30          Mechanism of Injury/Kinematics</w:t>
      </w:r>
    </w:p>
    <w:p w14:paraId="210AE2CF"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9:30 – 9:45          BREAK</w:t>
      </w:r>
    </w:p>
    <w:p w14:paraId="39ABE0FD"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9:45 – 10:45        Initial Resuscitation</w:t>
      </w:r>
    </w:p>
    <w:p w14:paraId="11E30FD2"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10:45 – 11:15     Airway Considerations in Trauma</w:t>
      </w:r>
    </w:p>
    <w:p w14:paraId="4EE2B0D2"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11:15 – 12:00     Hemorrhage Control</w:t>
      </w:r>
    </w:p>
    <w:p w14:paraId="69A657B5"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12:00 – 12:45     LUNCH</w:t>
      </w:r>
    </w:p>
    <w:p w14:paraId="2D7F986A"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12:45 – 1:45        Craniocerebral Trauma</w:t>
      </w:r>
    </w:p>
    <w:p w14:paraId="1306F64C"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1:45 – 2:45          Maxillofacial/Ocular Trauma</w:t>
      </w:r>
    </w:p>
    <w:p w14:paraId="0D2388A5"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2:45 – 3:00          BREAK</w:t>
      </w:r>
    </w:p>
    <w:p w14:paraId="273DDCE9"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3:00 – 4:00          Spinal Trauma</w:t>
      </w:r>
    </w:p>
    <w:p w14:paraId="0B50AE9D" w14:textId="32F3B95A" w:rsidR="00367B20" w:rsidRPr="008A6125"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4:00 – 4:30          Daily Eval’s, Quiz, Adjourn</w:t>
      </w:r>
    </w:p>
    <w:p w14:paraId="4B1A8DB5"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p>
    <w:p w14:paraId="314779F4"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b/>
          <w:bCs/>
          <w:color w:val="2F2F2F"/>
          <w:sz w:val="24"/>
          <w:szCs w:val="24"/>
          <w:u w:val="single"/>
        </w:rPr>
        <w:t>DAY 2 – CLASSROOM INSTRUCTION 8:00 AM – 4:30 PM</w:t>
      </w:r>
    </w:p>
    <w:p w14:paraId="1E1E52F8"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8:00 – 9:00          Thoracic Trauma</w:t>
      </w:r>
    </w:p>
    <w:p w14:paraId="0C61B8F5"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9:00 – 10:00        Abdominal Trauma</w:t>
      </w:r>
    </w:p>
    <w:p w14:paraId="1C013FB6"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10:00 – 10:15     BREAK</w:t>
      </w:r>
    </w:p>
    <w:p w14:paraId="76F5DF2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10:15 – 11:15     Musculoskeletal Trauma</w:t>
      </w:r>
    </w:p>
    <w:p w14:paraId="517E407E"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11:15 – 12:15     Shock</w:t>
      </w:r>
    </w:p>
    <w:p w14:paraId="737D087F"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12:15 – 1:00        LUNCH</w:t>
      </w:r>
    </w:p>
    <w:p w14:paraId="1EBBF177"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1:00 – 2:00          Prehospital Care of the Trauma Patient</w:t>
      </w:r>
    </w:p>
    <w:p w14:paraId="2B2B297D"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2:00 – 2:45          Rehabilitation of the Trauma Patient</w:t>
      </w:r>
    </w:p>
    <w:p w14:paraId="31E37049"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2:45 – 3:00          BREAK</w:t>
      </w:r>
    </w:p>
    <w:p w14:paraId="7D576C1E"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3:00 – 4:15          Perioperative Care of the Trauma Patient</w:t>
      </w:r>
    </w:p>
    <w:p w14:paraId="1DDBC5AB" w14:textId="54BB34B1" w:rsidR="00367B20" w:rsidRPr="008A6125"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4:15 – 4:30          Daily Eval’s Quiz, Adjourn</w:t>
      </w:r>
    </w:p>
    <w:p w14:paraId="2CE13F45"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p>
    <w:p w14:paraId="133AF3E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b/>
          <w:bCs/>
          <w:color w:val="2F2F2F"/>
          <w:sz w:val="24"/>
          <w:szCs w:val="24"/>
          <w:u w:val="single"/>
        </w:rPr>
        <w:t>DAY 3 – CLASSROOM INSTRUCTION 8:00 AM – 4:30 PM</w:t>
      </w:r>
    </w:p>
    <w:p w14:paraId="57AAF8DF"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8:00 – 8:30          End of Life/Organ Donation</w:t>
      </w:r>
    </w:p>
    <w:p w14:paraId="551A5FB2"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8:30 – 9:30          Pediatric Trauma</w:t>
      </w:r>
    </w:p>
    <w:p w14:paraId="6FD623F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9:30 – 9:45          BREAK</w:t>
      </w:r>
    </w:p>
    <w:p w14:paraId="052E1DE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9:45 – 10:45       Obstetrical Trauma</w:t>
      </w:r>
    </w:p>
    <w:p w14:paraId="553D43A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10:45 – 11:45     Psychosocial Aspects of Trauma/Abuse</w:t>
      </w:r>
    </w:p>
    <w:p w14:paraId="2A58AA92"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11:45 – 12:15     Critical Incident Stress Management</w:t>
      </w:r>
    </w:p>
    <w:p w14:paraId="26945B2A"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12:15 – 1:00        LUNCH</w:t>
      </w:r>
    </w:p>
    <w:p w14:paraId="247A0F9C"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1:00 – 1:30          Bariatric Considerations in Trauma</w:t>
      </w:r>
    </w:p>
    <w:p w14:paraId="79B593BB"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lastRenderedPageBreak/>
        <w:t>1:30 – 2:30          Burn Trauma</w:t>
      </w:r>
    </w:p>
    <w:p w14:paraId="45F178C0"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2:30 – 3:30          Tour of ED Trauma Bay and Stat </w:t>
      </w:r>
      <w:proofErr w:type="spellStart"/>
      <w:r w:rsidRPr="00367B20">
        <w:rPr>
          <w:rFonts w:eastAsia="Times New Roman" w:cstheme="minorHAnsi"/>
          <w:color w:val="2F2F2F"/>
          <w:sz w:val="24"/>
          <w:szCs w:val="24"/>
        </w:rPr>
        <w:t>MedEvac</w:t>
      </w:r>
      <w:proofErr w:type="spellEnd"/>
      <w:r w:rsidRPr="00367B20">
        <w:rPr>
          <w:rFonts w:eastAsia="Times New Roman" w:cstheme="minorHAnsi"/>
          <w:color w:val="2F2F2F"/>
          <w:sz w:val="24"/>
          <w:szCs w:val="24"/>
        </w:rPr>
        <w:t>/Helipad</w:t>
      </w:r>
    </w:p>
    <w:p w14:paraId="5BB2357D" w14:textId="58451328" w:rsidR="00367B20" w:rsidRPr="008A6125"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3:30 – 4:30          Daily Eval’s, Quiz, Adjourn</w:t>
      </w:r>
    </w:p>
    <w:p w14:paraId="6CFCBE3E"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p>
    <w:p w14:paraId="5EBAF126" w14:textId="5DE8A776"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b/>
          <w:bCs/>
          <w:color w:val="2F2F2F"/>
          <w:sz w:val="24"/>
          <w:szCs w:val="24"/>
          <w:u w:val="single"/>
        </w:rPr>
        <w:t>Topics covered in the ONLINE MODULES:</w:t>
      </w:r>
    </w:p>
    <w:p w14:paraId="44C2187E"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0.5 </w:t>
      </w:r>
      <w:proofErr w:type="spellStart"/>
      <w:r w:rsidRPr="00367B20">
        <w:rPr>
          <w:rFonts w:eastAsia="Times New Roman" w:cstheme="minorHAnsi"/>
          <w:color w:val="2F2F2F"/>
          <w:sz w:val="24"/>
          <w:szCs w:val="24"/>
        </w:rPr>
        <w:t>hr</w:t>
      </w:r>
      <w:proofErr w:type="spellEnd"/>
      <w:r w:rsidRPr="00367B20">
        <w:rPr>
          <w:rFonts w:eastAsia="Times New Roman" w:cstheme="minorHAnsi"/>
          <w:color w:val="2F2F2F"/>
          <w:sz w:val="24"/>
          <w:szCs w:val="24"/>
        </w:rPr>
        <w:t>    The Trauma System</w:t>
      </w:r>
    </w:p>
    <w:p w14:paraId="653283DF"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0.5 </w:t>
      </w:r>
      <w:proofErr w:type="spellStart"/>
      <w:r w:rsidRPr="00367B20">
        <w:rPr>
          <w:rFonts w:eastAsia="Times New Roman" w:cstheme="minorHAnsi"/>
          <w:color w:val="2F2F2F"/>
          <w:sz w:val="24"/>
          <w:szCs w:val="24"/>
        </w:rPr>
        <w:t>hr</w:t>
      </w:r>
      <w:proofErr w:type="spellEnd"/>
      <w:r w:rsidRPr="00367B20">
        <w:rPr>
          <w:rFonts w:eastAsia="Times New Roman" w:cstheme="minorHAnsi"/>
          <w:color w:val="2F2F2F"/>
          <w:sz w:val="24"/>
          <w:szCs w:val="24"/>
        </w:rPr>
        <w:t>    Injury Prevention</w:t>
      </w:r>
    </w:p>
    <w:p w14:paraId="5DF9E3A4"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1.0 </w:t>
      </w:r>
      <w:proofErr w:type="spellStart"/>
      <w:r w:rsidRPr="00367B20">
        <w:rPr>
          <w:rFonts w:eastAsia="Times New Roman" w:cstheme="minorHAnsi"/>
          <w:color w:val="2F2F2F"/>
          <w:sz w:val="24"/>
          <w:szCs w:val="24"/>
        </w:rPr>
        <w:t>hr</w:t>
      </w:r>
      <w:proofErr w:type="spellEnd"/>
      <w:r w:rsidRPr="00367B20">
        <w:rPr>
          <w:rFonts w:eastAsia="Times New Roman" w:cstheme="minorHAnsi"/>
          <w:color w:val="2F2F2F"/>
          <w:sz w:val="24"/>
          <w:szCs w:val="24"/>
        </w:rPr>
        <w:t>    Geriatric Trauma</w:t>
      </w:r>
    </w:p>
    <w:p w14:paraId="569EFE6B"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1.0 </w:t>
      </w:r>
      <w:proofErr w:type="spellStart"/>
      <w:r w:rsidRPr="00367B20">
        <w:rPr>
          <w:rFonts w:eastAsia="Times New Roman" w:cstheme="minorHAnsi"/>
          <w:color w:val="2F2F2F"/>
          <w:sz w:val="24"/>
          <w:szCs w:val="24"/>
        </w:rPr>
        <w:t>hr</w:t>
      </w:r>
      <w:proofErr w:type="spellEnd"/>
      <w:r w:rsidRPr="00367B20">
        <w:rPr>
          <w:rFonts w:eastAsia="Times New Roman" w:cstheme="minorHAnsi"/>
          <w:color w:val="2F2F2F"/>
          <w:sz w:val="24"/>
          <w:szCs w:val="24"/>
        </w:rPr>
        <w:t>    Pain Management in the Adult Trauma Patient</w:t>
      </w:r>
    </w:p>
    <w:p w14:paraId="2C9321AB"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0.5 </w:t>
      </w:r>
      <w:proofErr w:type="spellStart"/>
      <w:r w:rsidRPr="00367B20">
        <w:rPr>
          <w:rFonts w:eastAsia="Times New Roman" w:cstheme="minorHAnsi"/>
          <w:color w:val="2F2F2F"/>
          <w:sz w:val="24"/>
          <w:szCs w:val="24"/>
        </w:rPr>
        <w:t>hr</w:t>
      </w:r>
      <w:proofErr w:type="spellEnd"/>
      <w:r w:rsidRPr="00367B20">
        <w:rPr>
          <w:rFonts w:eastAsia="Times New Roman" w:cstheme="minorHAnsi"/>
          <w:color w:val="2F2F2F"/>
          <w:sz w:val="24"/>
          <w:szCs w:val="24"/>
        </w:rPr>
        <w:t>    Genitourinary Trauma</w:t>
      </w:r>
    </w:p>
    <w:p w14:paraId="237F6BF3"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xml:space="preserve">1.0 </w:t>
      </w:r>
      <w:proofErr w:type="spellStart"/>
      <w:r w:rsidRPr="00367B20">
        <w:rPr>
          <w:rFonts w:eastAsia="Times New Roman" w:cstheme="minorHAnsi"/>
          <w:color w:val="2F2F2F"/>
          <w:sz w:val="24"/>
          <w:szCs w:val="24"/>
        </w:rPr>
        <w:t>hr</w:t>
      </w:r>
      <w:proofErr w:type="spellEnd"/>
      <w:r w:rsidRPr="00367B20">
        <w:rPr>
          <w:rFonts w:eastAsia="Times New Roman" w:cstheme="minorHAnsi"/>
          <w:color w:val="2F2F2F"/>
          <w:sz w:val="24"/>
          <w:szCs w:val="24"/>
        </w:rPr>
        <w:t>    Nutritional Needs of the Trauma Patient</w:t>
      </w:r>
    </w:p>
    <w:p w14:paraId="6A5D000C" w14:textId="77777777" w:rsidR="00367B20" w:rsidRPr="00367B20" w:rsidRDefault="00367B20" w:rsidP="00367B20">
      <w:pPr>
        <w:shd w:val="clear" w:color="auto" w:fill="FFFFFF"/>
        <w:spacing w:after="336" w:line="240" w:lineRule="auto"/>
        <w:contextualSpacing/>
        <w:rPr>
          <w:rFonts w:eastAsia="Times New Roman" w:cstheme="minorHAnsi"/>
          <w:color w:val="2F2F2F"/>
          <w:sz w:val="24"/>
          <w:szCs w:val="24"/>
        </w:rPr>
      </w:pPr>
      <w:r w:rsidRPr="00367B20">
        <w:rPr>
          <w:rFonts w:eastAsia="Times New Roman" w:cstheme="minorHAnsi"/>
          <w:color w:val="2F2F2F"/>
          <w:sz w:val="24"/>
          <w:szCs w:val="24"/>
        </w:rPr>
        <w:t> </w:t>
      </w:r>
    </w:p>
    <w:p w14:paraId="0CD7C419" w14:textId="77777777" w:rsidR="00367B20" w:rsidRPr="00367B20" w:rsidRDefault="00367B20" w:rsidP="00367B20">
      <w:pPr>
        <w:shd w:val="clear" w:color="auto" w:fill="FFFFFF"/>
        <w:spacing w:after="0" w:line="240" w:lineRule="auto"/>
        <w:contextualSpacing/>
        <w:rPr>
          <w:rFonts w:eastAsia="Times New Roman" w:cstheme="minorHAnsi"/>
          <w:color w:val="2F2F2F"/>
          <w:sz w:val="24"/>
          <w:szCs w:val="24"/>
        </w:rPr>
      </w:pPr>
      <w:r w:rsidRPr="00367B20">
        <w:rPr>
          <w:rFonts w:eastAsia="Times New Roman" w:cstheme="minorHAnsi"/>
          <w:color w:val="2F2F2F"/>
          <w:sz w:val="24"/>
          <w:szCs w:val="24"/>
        </w:rPr>
        <w:t>*Note: The 6 Online Modules are accessed via Learning in HR Direct.  Approximately 2 weeks prior to class, instructor will send links to the online modules to the students to allow ample time to complete them.  Instructor will verify online module completion by viewing transcripts in HR Direct Learning.</w:t>
      </w:r>
    </w:p>
    <w:p w14:paraId="1BDB82EA" w14:textId="77777777" w:rsidR="004639F2" w:rsidRPr="008A6125" w:rsidRDefault="004639F2">
      <w:pPr>
        <w:contextualSpacing/>
        <w:rPr>
          <w:rFonts w:cstheme="minorHAnsi"/>
        </w:rPr>
      </w:pPr>
    </w:p>
    <w:sectPr w:rsidR="004639F2" w:rsidRPr="008A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0"/>
    <w:rsid w:val="00367B20"/>
    <w:rsid w:val="004639F2"/>
    <w:rsid w:val="00535428"/>
    <w:rsid w:val="008A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1BA7"/>
  <w15:chartTrackingRefBased/>
  <w15:docId w15:val="{ACD0D429-BDF3-4346-B636-6F045719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67B2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67B20"/>
    <w:rPr>
      <w:rFonts w:ascii="Times New Roman" w:eastAsia="Times New Roman" w:hAnsi="Times New Roman" w:cs="Times New Roman"/>
      <w:b/>
      <w:bCs/>
      <w:sz w:val="15"/>
      <w:szCs w:val="15"/>
    </w:rPr>
  </w:style>
  <w:style w:type="character" w:styleId="Strong">
    <w:name w:val="Strong"/>
    <w:basedOn w:val="DefaultParagraphFont"/>
    <w:uiPriority w:val="22"/>
    <w:qFormat/>
    <w:rsid w:val="0036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Broge-connor, Michelle</dc:creator>
  <cp:keywords/>
  <dc:description/>
  <cp:lastModifiedBy>Broge-connor, Michelle</cp:lastModifiedBy>
  <cp:revision>1</cp:revision>
  <dcterms:created xsi:type="dcterms:W3CDTF">2021-12-27T19:06:00Z</dcterms:created>
  <dcterms:modified xsi:type="dcterms:W3CDTF">2021-12-27T19:29:00Z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2021-12-27T19:06:22Z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55715171-4b37-41df-9cba-b054ee4670bc</vt:lpwstr>
  </property>
  <property fmtid="{D5CDD505-2E9C-101B-9397-08002B2CF9AE}" pid="8" name="MSIP_Label_5e4b1be8-281e-475d-98b0-21c3457e5a46_ContentBits">
    <vt:lpwstr>0</vt:lpwstr>
  </property>
</Properties>
</file>