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3D5ED05A"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9D605A" w:rsidRPr="009D605A">
        <w:rPr>
          <w:rFonts w:ascii="Arial" w:hAnsi="Arial" w:cs="Arial"/>
          <w:b/>
          <w:bCs/>
          <w:sz w:val="24"/>
          <w:szCs w:val="24"/>
        </w:rPr>
        <w:t xml:space="preserve">Building Pro-Vaccine Presence on </w:t>
      </w:r>
      <w:proofErr w:type="gramStart"/>
      <w:r w:rsidR="009D605A" w:rsidRPr="009D605A">
        <w:rPr>
          <w:rFonts w:ascii="Arial" w:hAnsi="Arial" w:cs="Arial"/>
          <w:b/>
          <w:bCs/>
          <w:sz w:val="24"/>
          <w:szCs w:val="24"/>
        </w:rPr>
        <w:t>Social Media</w:t>
      </w:r>
      <w:proofErr w:type="gramEnd"/>
      <w:r w:rsidR="009D605A" w:rsidRPr="009D605A">
        <w:rPr>
          <w:rFonts w:ascii="Arial" w:hAnsi="Arial" w:cs="Arial"/>
          <w:b/>
          <w:bCs/>
          <w:sz w:val="24"/>
          <w:szCs w:val="24"/>
        </w:rPr>
        <w:t>-Communicate to Vaccinate</w:t>
      </w:r>
    </w:p>
    <w:p w14:paraId="752CB048" w14:textId="50B74997" w:rsidR="00D52104" w:rsidRPr="00D0199B" w:rsidRDefault="00A83567"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 xml:space="preserve">May </w:t>
      </w:r>
      <w:r w:rsidR="009D605A">
        <w:rPr>
          <w:rFonts w:ascii="Arial" w:hAnsi="Arial" w:cs="Arial"/>
          <w:b/>
          <w:bCs/>
          <w:sz w:val="24"/>
          <w:szCs w:val="24"/>
        </w:rPr>
        <w:t>26</w:t>
      </w:r>
      <w:r w:rsidR="00AE34DE">
        <w:rPr>
          <w:rFonts w:ascii="Arial" w:hAnsi="Arial" w:cs="Arial"/>
          <w:b/>
          <w:bCs/>
          <w:sz w:val="24"/>
          <w:szCs w:val="24"/>
        </w:rPr>
        <w:t>, 2022</w:t>
      </w:r>
    </w:p>
    <w:p w14:paraId="647F4B04" w14:textId="00B4DC9D" w:rsidR="00447C82" w:rsidRPr="00D0199B" w:rsidRDefault="009D605A"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1</w:t>
      </w:r>
      <w:r w:rsidR="00B94BCA">
        <w:rPr>
          <w:rFonts w:ascii="Arial" w:hAnsi="Arial" w:cs="Arial"/>
          <w:b/>
          <w:bCs/>
          <w:sz w:val="24"/>
          <w:szCs w:val="24"/>
        </w:rPr>
        <w:t xml:space="preserve">:00PM – </w:t>
      </w:r>
      <w:r>
        <w:rPr>
          <w:rFonts w:ascii="Arial" w:hAnsi="Arial" w:cs="Arial"/>
          <w:b/>
          <w:bCs/>
          <w:sz w:val="24"/>
          <w:szCs w:val="24"/>
        </w:rPr>
        <w:t>2</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48855C55" w14:textId="768BC2D5" w:rsidR="002B060C" w:rsidRPr="00001EA6" w:rsidRDefault="00447C82" w:rsidP="009D605A">
      <w:pPr>
        <w:rPr>
          <w:rFonts w:ascii="Arial" w:hAnsi="Arial" w:cs="Arial"/>
          <w:b/>
          <w:snapToGrid w:val="0"/>
          <w:color w:val="000000"/>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9D605A">
        <w:rPr>
          <w:rFonts w:ascii="Arial" w:hAnsi="Arial" w:cs="Arial"/>
          <w:b/>
          <w:sz w:val="18"/>
          <w:szCs w:val="18"/>
        </w:rPr>
        <w:t xml:space="preserve">Todd </w:t>
      </w:r>
      <w:proofErr w:type="spellStart"/>
      <w:r w:rsidR="009D605A" w:rsidRPr="00001EA6">
        <w:rPr>
          <w:rFonts w:ascii="Arial" w:hAnsi="Arial" w:cs="Arial"/>
          <w:b/>
          <w:snapToGrid w:val="0"/>
          <w:color w:val="000000"/>
          <w:sz w:val="18"/>
          <w:szCs w:val="18"/>
        </w:rPr>
        <w:t>Wolynn</w:t>
      </w:r>
      <w:proofErr w:type="spellEnd"/>
      <w:r w:rsidR="00001EA6" w:rsidRPr="00001EA6">
        <w:rPr>
          <w:rFonts w:ascii="Arial" w:hAnsi="Arial" w:cs="Arial"/>
          <w:b/>
          <w:snapToGrid w:val="0"/>
          <w:color w:val="000000"/>
          <w:sz w:val="18"/>
          <w:szCs w:val="18"/>
        </w:rPr>
        <w:t xml:space="preserve">, </w:t>
      </w:r>
      <w:r w:rsidR="00001EA6" w:rsidRPr="00001EA6">
        <w:rPr>
          <w:rFonts w:ascii="Arial" w:hAnsi="Arial" w:cs="Arial"/>
          <w:b/>
          <w:snapToGrid w:val="0"/>
          <w:color w:val="000000"/>
          <w:sz w:val="18"/>
          <w:szCs w:val="18"/>
        </w:rPr>
        <w:t>MD, MMM, IBCLC</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4B0DBC0" w14:textId="77777777" w:rsidR="00212A5C" w:rsidRPr="00212A5C" w:rsidRDefault="00212A5C" w:rsidP="00212A5C">
      <w:pPr>
        <w:pStyle w:val="Title"/>
        <w:spacing w:line="240" w:lineRule="auto"/>
        <w:jc w:val="left"/>
        <w:rPr>
          <w:rFonts w:ascii="Arial" w:hAnsi="Arial" w:cs="Arial"/>
          <w:bCs/>
          <w:sz w:val="18"/>
          <w:szCs w:val="18"/>
          <w:lang w:val="en"/>
        </w:rPr>
      </w:pPr>
      <w:r w:rsidRPr="00212A5C">
        <w:rPr>
          <w:rFonts w:ascii="Arial" w:hAnsi="Arial" w:cs="Arial"/>
          <w:bCs/>
          <w:sz w:val="18"/>
          <w:szCs w:val="18"/>
          <w:lang w:val="en"/>
        </w:rPr>
        <w:t xml:space="preserve">The following relevant financial relationships were disclosed: </w:t>
      </w:r>
    </w:p>
    <w:p w14:paraId="0FEAFFD6" w14:textId="793889F9" w:rsidR="00212A5C" w:rsidRPr="00212A5C" w:rsidRDefault="00412BE0" w:rsidP="00212A5C">
      <w:pPr>
        <w:pStyle w:val="Title"/>
        <w:spacing w:line="240" w:lineRule="auto"/>
        <w:jc w:val="left"/>
        <w:rPr>
          <w:rFonts w:ascii="Arial" w:hAnsi="Arial" w:cs="Arial"/>
          <w:b w:val="0"/>
          <w:sz w:val="18"/>
          <w:szCs w:val="18"/>
          <w:lang w:val="en"/>
        </w:rPr>
      </w:pPr>
      <w:r>
        <w:rPr>
          <w:rFonts w:ascii="Arial" w:hAnsi="Arial" w:cs="Arial"/>
          <w:b w:val="0"/>
          <w:sz w:val="18"/>
          <w:szCs w:val="18"/>
          <w:lang w:val="en"/>
        </w:rPr>
        <w:t xml:space="preserve">Todd </w:t>
      </w:r>
      <w:proofErr w:type="spellStart"/>
      <w:r>
        <w:rPr>
          <w:rFonts w:ascii="Arial" w:hAnsi="Arial" w:cs="Arial"/>
          <w:b w:val="0"/>
          <w:sz w:val="18"/>
          <w:szCs w:val="18"/>
          <w:lang w:val="en"/>
        </w:rPr>
        <w:t>Wolynn</w:t>
      </w:r>
      <w:proofErr w:type="spellEnd"/>
      <w:r>
        <w:rPr>
          <w:rFonts w:ascii="Arial" w:hAnsi="Arial" w:cs="Arial"/>
          <w:b w:val="0"/>
          <w:sz w:val="18"/>
          <w:szCs w:val="18"/>
          <w:lang w:val="en"/>
        </w:rPr>
        <w:t xml:space="preserve"> is a consultant for </w:t>
      </w:r>
      <w:r w:rsidRPr="00412BE0">
        <w:rPr>
          <w:rFonts w:ascii="Arial" w:hAnsi="Arial" w:cs="Arial"/>
          <w:b w:val="0"/>
          <w:sz w:val="18"/>
          <w:szCs w:val="18"/>
          <w:lang w:val="en"/>
        </w:rPr>
        <w:t>Merck, Pfizer, Sanofi, Novavax</w:t>
      </w:r>
      <w:r w:rsidR="00212A5C">
        <w:rPr>
          <w:rFonts w:ascii="Arial" w:hAnsi="Arial" w:cs="Arial"/>
          <w:b w:val="0"/>
          <w:sz w:val="18"/>
          <w:szCs w:val="18"/>
          <w:lang w:val="en"/>
        </w:rPr>
        <w:t xml:space="preserve">. </w:t>
      </w:r>
    </w:p>
    <w:p w14:paraId="762BFCAA" w14:textId="77777777" w:rsidR="00212A5C" w:rsidRDefault="00212A5C" w:rsidP="00212A5C">
      <w:pPr>
        <w:pStyle w:val="Title"/>
        <w:spacing w:line="240" w:lineRule="auto"/>
        <w:jc w:val="left"/>
        <w:rPr>
          <w:rFonts w:ascii="Arial" w:hAnsi="Arial" w:cs="Arial"/>
          <w:b w:val="0"/>
          <w:sz w:val="18"/>
          <w:szCs w:val="18"/>
          <w:lang w:val="en"/>
        </w:rPr>
      </w:pPr>
    </w:p>
    <w:p w14:paraId="4565793A" w14:textId="34B3F0DC"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No other planners, members of the planning committee, speakers, presenters, authors, content reviewers and/or anyone else in a position to control the content of this education activity have relevant financial relationships to disclose</w:t>
      </w:r>
    </w:p>
    <w:p w14:paraId="41DECCE9" w14:textId="77777777" w:rsidR="00F55EF1" w:rsidRPr="00B05F0B" w:rsidRDefault="00F55EF1" w:rsidP="00212A5C">
      <w:pPr>
        <w:pStyle w:val="Title"/>
        <w:tabs>
          <w:tab w:val="clear" w:pos="1152"/>
        </w:tabs>
        <w:spacing w:line="240" w:lineRule="auto"/>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1EA6"/>
    <w:rsid w:val="00002E37"/>
    <w:rsid w:val="00004B7A"/>
    <w:rsid w:val="00010020"/>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54F22"/>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060C"/>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2BE0"/>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D605A"/>
    <w:rsid w:val="009E7013"/>
    <w:rsid w:val="009F1D96"/>
    <w:rsid w:val="009F4123"/>
    <w:rsid w:val="00A03FA7"/>
    <w:rsid w:val="00A043F7"/>
    <w:rsid w:val="00A11FE6"/>
    <w:rsid w:val="00A134E7"/>
    <w:rsid w:val="00A17108"/>
    <w:rsid w:val="00A31A90"/>
    <w:rsid w:val="00A61DDC"/>
    <w:rsid w:val="00A70908"/>
    <w:rsid w:val="00A83567"/>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864944341">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2022-05-26T21:26:00Z</dcterms:created>
  <dcterms:modified xsi:type="dcterms:W3CDTF">2022-05-26T21:26:00Z</dcterms:modified>
</cp:coreProperties>
</file>