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E752" w14:textId="77777777" w:rsidR="00754311" w:rsidRPr="00754311" w:rsidRDefault="00754311" w:rsidP="00754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Enhancing Teaching Skills</w:t>
      </w:r>
    </w:p>
    <w:p w14:paraId="55D306E9" w14:textId="77777777" w:rsidR="00754311" w:rsidRPr="00754311" w:rsidRDefault="00754311" w:rsidP="00754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Learning Management System Information</w:t>
      </w:r>
    </w:p>
    <w:p w14:paraId="64BC4D23" w14:textId="0F86BB52" w:rsidR="00754311" w:rsidRPr="00754311" w:rsidRDefault="00754311" w:rsidP="00754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 “Large Group Teaching” </w:t>
      </w:r>
    </w:p>
    <w:p w14:paraId="543B04B3" w14:textId="2CD7D155" w:rsidR="00754311" w:rsidRPr="00754311" w:rsidRDefault="00754311" w:rsidP="007543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Session </w:t>
      </w:r>
      <w:r w:rsidR="00571C0C">
        <w:rPr>
          <w:rFonts w:ascii="Times New Roman" w:hAnsi="Times New Roman" w:cs="Times New Roman"/>
          <w:sz w:val="24"/>
          <w:szCs w:val="24"/>
        </w:rPr>
        <w:t>5</w:t>
      </w:r>
      <w:r w:rsidRPr="00754311">
        <w:rPr>
          <w:rFonts w:ascii="Times New Roman" w:hAnsi="Times New Roman" w:cs="Times New Roman"/>
          <w:sz w:val="24"/>
          <w:szCs w:val="24"/>
        </w:rPr>
        <w:t>: January 2020</w:t>
      </w:r>
    </w:p>
    <w:p w14:paraId="1E277789" w14:textId="468EB2FB" w:rsidR="00B25625" w:rsidRDefault="00B25625" w:rsidP="007543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Ethos Link: </w:t>
      </w:r>
      <w:r w:rsidR="00A67581">
        <w:rPr>
          <w:rFonts w:ascii="Times New Roman" w:hAnsi="Times New Roman" w:cs="Times New Roman"/>
          <w:sz w:val="24"/>
          <w:szCs w:val="24"/>
          <w:u w:val="single"/>
        </w:rPr>
        <w:t>http://cce.upmc.com/</w:t>
      </w:r>
      <w:r w:rsidR="00A67581" w:rsidRPr="00A67581">
        <w:rPr>
          <w:rFonts w:ascii="Times New Roman" w:hAnsi="Times New Roman" w:cs="Times New Roman"/>
          <w:sz w:val="24"/>
          <w:szCs w:val="24"/>
          <w:u w:val="single"/>
        </w:rPr>
        <w:t>teaching_LargeGroup</w:t>
      </w:r>
    </w:p>
    <w:p w14:paraId="26E83034" w14:textId="1D9FFFDD" w:rsidR="00754311" w:rsidRPr="00754311" w:rsidRDefault="00754311" w:rsidP="007543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311">
        <w:rPr>
          <w:rFonts w:ascii="Times New Roman" w:hAnsi="Times New Roman" w:cs="Times New Roman"/>
          <w:sz w:val="24"/>
          <w:szCs w:val="24"/>
          <w:u w:val="single"/>
        </w:rPr>
        <w:t>Overview:</w:t>
      </w:r>
    </w:p>
    <w:p w14:paraId="348DF15D" w14:textId="3587C1D9" w:rsidR="00754311" w:rsidRDefault="00754311" w:rsidP="00754311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“Large Group Teaching” is a learning module created for medical educators as part of the “Enhancing Teaching Skills Lunchtime Webinar Series.”  </w:t>
      </w:r>
      <w:r w:rsidRPr="007543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goal of this series is </w:t>
      </w:r>
      <w:r w:rsidRPr="007543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enhance core teaching and scholarship skills for medical educators of both medical students and residents throughout the UPMC system.  The webinar series occurs live through Microsoft Teams from 12:15-1:00PM every other month during the academic year. If you would like to be invited to participate in the live webinar, please email Maggie Benson at </w:t>
      </w:r>
      <w:hyperlink r:id="rId8" w:history="1">
        <w:r w:rsidRPr="0075431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bensonmk@upmc.edu</w:t>
        </w:r>
      </w:hyperlink>
      <w:r w:rsidRPr="007543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424668B" w14:textId="2E0B99AB" w:rsidR="00B25625" w:rsidRPr="00B25625" w:rsidRDefault="00B25625" w:rsidP="00754311">
      <w:pP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2562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Presenters: </w:t>
      </w:r>
    </w:p>
    <w:p w14:paraId="568D086A" w14:textId="77777777" w:rsidR="002C2365" w:rsidRPr="002C2365" w:rsidRDefault="002C2365" w:rsidP="002C2365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23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Maggie Benson, MD MS,</w:t>
      </w:r>
    </w:p>
    <w:p w14:paraId="7B88BC65" w14:textId="77777777" w:rsidR="002C2365" w:rsidRPr="002C2365" w:rsidRDefault="002C2365" w:rsidP="002C2365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23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Clinical Assistant Professor of Medicine</w:t>
      </w:r>
    </w:p>
    <w:p w14:paraId="0E12F989" w14:textId="47B0727D" w:rsidR="00B25625" w:rsidRPr="00754311" w:rsidRDefault="002C2365" w:rsidP="002C2365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23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UPMC Hamot</w:t>
      </w:r>
    </w:p>
    <w:p w14:paraId="4B62A64E" w14:textId="0972DE7C" w:rsidR="00754311" w:rsidRPr="00754311" w:rsidRDefault="00754311" w:rsidP="007543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311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Objectives:</w:t>
      </w:r>
    </w:p>
    <w:p w14:paraId="2292DB8D" w14:textId="77777777" w:rsidR="00754311" w:rsidRPr="00754311" w:rsidRDefault="00754311" w:rsidP="00754311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543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The objectives of this session are to:</w:t>
      </w:r>
    </w:p>
    <w:p w14:paraId="76FD6232" w14:textId="77777777" w:rsidR="00A67FE2" w:rsidRPr="00A67FE2" w:rsidRDefault="00754311" w:rsidP="007543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D</w:t>
      </w:r>
      <w:r w:rsidR="008049FF" w:rsidRPr="00A67FE2">
        <w:rPr>
          <w:rFonts w:ascii="Times New Roman" w:hAnsi="Times New Roman" w:cs="Times New Roman"/>
          <w:sz w:val="24"/>
          <w:szCs w:val="24"/>
        </w:rPr>
        <w:t>iscuss how large group teaching can employ principles of adult learning</w:t>
      </w:r>
    </w:p>
    <w:p w14:paraId="71AD1E48" w14:textId="77777777" w:rsidR="00A67FE2" w:rsidRPr="00A67FE2" w:rsidRDefault="00754311" w:rsidP="007543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R</w:t>
      </w:r>
      <w:r w:rsidR="008049FF" w:rsidRPr="00A67FE2">
        <w:rPr>
          <w:rFonts w:ascii="Times New Roman" w:hAnsi="Times New Roman" w:cs="Times New Roman"/>
          <w:sz w:val="24"/>
          <w:szCs w:val="24"/>
        </w:rPr>
        <w:t>eview best practices for power point design</w:t>
      </w:r>
    </w:p>
    <w:p w14:paraId="196FB5C2" w14:textId="1BBCF57C" w:rsidR="00754311" w:rsidRPr="00754311" w:rsidRDefault="00754311" w:rsidP="007543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D</w:t>
      </w:r>
      <w:r w:rsidR="008049FF" w:rsidRPr="00A67FE2">
        <w:rPr>
          <w:rFonts w:ascii="Times New Roman" w:hAnsi="Times New Roman" w:cs="Times New Roman"/>
          <w:sz w:val="24"/>
          <w:szCs w:val="24"/>
        </w:rPr>
        <w:t>iscuss 4 strategies for making large group teaching interactive</w:t>
      </w:r>
    </w:p>
    <w:p w14:paraId="3B224B8C" w14:textId="2DB907DC" w:rsidR="00754311" w:rsidRPr="00754311" w:rsidRDefault="00754311" w:rsidP="0075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F6022" w14:textId="5E7FEA13" w:rsidR="00754311" w:rsidRPr="00754311" w:rsidRDefault="00754311" w:rsidP="007543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4311">
        <w:rPr>
          <w:rFonts w:ascii="Times New Roman" w:hAnsi="Times New Roman" w:cs="Times New Roman"/>
          <w:sz w:val="24"/>
          <w:szCs w:val="24"/>
          <w:u w:val="single"/>
        </w:rPr>
        <w:t>Questions:</w:t>
      </w:r>
    </w:p>
    <w:p w14:paraId="5D49857D" w14:textId="77777777" w:rsidR="00754311" w:rsidRPr="00754311" w:rsidRDefault="00754311" w:rsidP="00F61C00">
      <w:pPr>
        <w:rPr>
          <w:rFonts w:ascii="Times New Roman" w:hAnsi="Times New Roman" w:cs="Times New Roman"/>
          <w:sz w:val="24"/>
          <w:szCs w:val="24"/>
        </w:rPr>
      </w:pPr>
    </w:p>
    <w:p w14:paraId="6892E666" w14:textId="161221B3" w:rsidR="00754311" w:rsidRDefault="00754311" w:rsidP="00754311">
      <w:pPr>
        <w:pStyle w:val="ListParagraph"/>
        <w:numPr>
          <w:ilvl w:val="0"/>
          <w:numId w:val="2"/>
        </w:numPr>
      </w:pPr>
      <w:r w:rsidRPr="00754311">
        <w:t xml:space="preserve">True or False: </w:t>
      </w:r>
      <w:r w:rsidR="001E469A">
        <w:t>A single 60-minute large group presentation should include 7-10 key objectives.</w:t>
      </w:r>
    </w:p>
    <w:p w14:paraId="7B8FA1EC" w14:textId="77777777" w:rsidR="002A54FF" w:rsidRPr="00754311" w:rsidRDefault="002A54FF" w:rsidP="002A54FF">
      <w:pPr>
        <w:pStyle w:val="ListParagraph"/>
      </w:pPr>
    </w:p>
    <w:p w14:paraId="669DB6A9" w14:textId="77777777" w:rsidR="00754311" w:rsidRPr="00754311" w:rsidRDefault="00754311" w:rsidP="00754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Answer: False</w:t>
      </w:r>
    </w:p>
    <w:p w14:paraId="4B7568E8" w14:textId="22399ACE" w:rsidR="00754311" w:rsidRDefault="00754311" w:rsidP="00754311">
      <w:pPr>
        <w:ind w:left="72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Explanation: You can overwhelm the learner and dilute what is most important</w:t>
      </w:r>
      <w:r w:rsidR="0032142F" w:rsidRPr="0032142F">
        <w:rPr>
          <w:rFonts w:ascii="Times New Roman" w:hAnsi="Times New Roman" w:cs="Times New Roman"/>
          <w:sz w:val="24"/>
          <w:szCs w:val="24"/>
        </w:rPr>
        <w:t xml:space="preserve"> </w:t>
      </w:r>
      <w:r w:rsidR="0032142F">
        <w:rPr>
          <w:rFonts w:ascii="Times New Roman" w:hAnsi="Times New Roman" w:cs="Times New Roman"/>
          <w:sz w:val="24"/>
          <w:szCs w:val="24"/>
        </w:rPr>
        <w:t>if you try to cover</w:t>
      </w:r>
      <w:r w:rsidR="0032142F" w:rsidRPr="00754311">
        <w:rPr>
          <w:rFonts w:ascii="Times New Roman" w:hAnsi="Times New Roman" w:cs="Times New Roman"/>
          <w:sz w:val="24"/>
          <w:szCs w:val="24"/>
        </w:rPr>
        <w:t xml:space="preserve"> too many teaching points</w:t>
      </w:r>
      <w:r w:rsidRPr="00754311">
        <w:rPr>
          <w:rFonts w:ascii="Times New Roman" w:hAnsi="Times New Roman" w:cs="Times New Roman"/>
          <w:sz w:val="24"/>
          <w:szCs w:val="24"/>
        </w:rPr>
        <w:t xml:space="preserve">.  It is best to stick to </w:t>
      </w:r>
      <w:r w:rsidR="001E469A">
        <w:rPr>
          <w:rFonts w:ascii="Times New Roman" w:hAnsi="Times New Roman" w:cs="Times New Roman"/>
          <w:sz w:val="24"/>
          <w:szCs w:val="24"/>
        </w:rPr>
        <w:t>3-5</w:t>
      </w:r>
      <w:r w:rsidRPr="00754311">
        <w:rPr>
          <w:rFonts w:ascii="Times New Roman" w:hAnsi="Times New Roman" w:cs="Times New Roman"/>
          <w:sz w:val="24"/>
          <w:szCs w:val="24"/>
        </w:rPr>
        <w:t xml:space="preserve"> </w:t>
      </w:r>
      <w:r w:rsidR="001E469A">
        <w:rPr>
          <w:rFonts w:ascii="Times New Roman" w:hAnsi="Times New Roman" w:cs="Times New Roman"/>
          <w:sz w:val="24"/>
          <w:szCs w:val="24"/>
        </w:rPr>
        <w:t>learning objectives per session.</w:t>
      </w:r>
      <w:r w:rsidRPr="00754311">
        <w:rPr>
          <w:rFonts w:ascii="Times New Roman" w:hAnsi="Times New Roman" w:cs="Times New Roman"/>
          <w:sz w:val="24"/>
          <w:szCs w:val="24"/>
        </w:rPr>
        <w:t xml:space="preserve"> </w:t>
      </w:r>
      <w:r w:rsidR="0032142F">
        <w:rPr>
          <w:rFonts w:ascii="Times New Roman" w:hAnsi="Times New Roman" w:cs="Times New Roman"/>
          <w:sz w:val="24"/>
          <w:szCs w:val="24"/>
        </w:rPr>
        <w:t>List these at the beginning of your presentation so that learners know what to expect and what you think is most important</w:t>
      </w:r>
      <w:r w:rsidR="00B333E1">
        <w:rPr>
          <w:rFonts w:ascii="Times New Roman" w:hAnsi="Times New Roman" w:cs="Times New Roman"/>
          <w:sz w:val="24"/>
          <w:szCs w:val="24"/>
        </w:rPr>
        <w:t xml:space="preserve"> </w:t>
      </w:r>
      <w:r w:rsidR="00EE73FE">
        <w:rPr>
          <w:rFonts w:ascii="Times New Roman" w:hAnsi="Times New Roman" w:cs="Times New Roman"/>
          <w:sz w:val="24"/>
          <w:szCs w:val="24"/>
        </w:rPr>
        <w:t>and summarize take home points again at the end.</w:t>
      </w:r>
    </w:p>
    <w:p w14:paraId="48E45D89" w14:textId="77777777" w:rsidR="00F61C00" w:rsidRDefault="00F61C00" w:rsidP="0075431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75FA0F" w14:textId="1BDCA758" w:rsidR="00EF075A" w:rsidRDefault="00EF075A" w:rsidP="00EF075A">
      <w:pPr>
        <w:pStyle w:val="ListParagraph"/>
        <w:numPr>
          <w:ilvl w:val="0"/>
          <w:numId w:val="2"/>
        </w:numPr>
      </w:pPr>
      <w:r w:rsidRPr="00754311">
        <w:lastRenderedPageBreak/>
        <w:t xml:space="preserve">True or False: </w:t>
      </w:r>
      <w:r w:rsidR="00EE73FE">
        <w:t>A</w:t>
      </w:r>
      <w:r>
        <w:t>udience attention in a large group teaching setting</w:t>
      </w:r>
      <w:r w:rsidR="00C5299D">
        <w:t xml:space="preserve"> declines around 10 minutes, so it is best practice to include an engaging or interactive activity every 10-15 minutes.</w:t>
      </w:r>
    </w:p>
    <w:p w14:paraId="5006DC87" w14:textId="77777777" w:rsidR="00EF075A" w:rsidRPr="00754311" w:rsidRDefault="00EF075A" w:rsidP="00EF075A">
      <w:pPr>
        <w:pStyle w:val="ListParagraph"/>
      </w:pPr>
    </w:p>
    <w:p w14:paraId="32470F6B" w14:textId="20266149" w:rsidR="00EF075A" w:rsidRPr="00754311" w:rsidRDefault="00EF075A" w:rsidP="00EF0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Answer: </w:t>
      </w:r>
      <w:r w:rsidR="00C5299D">
        <w:rPr>
          <w:rFonts w:ascii="Times New Roman" w:hAnsi="Times New Roman" w:cs="Times New Roman"/>
          <w:sz w:val="24"/>
          <w:szCs w:val="24"/>
        </w:rPr>
        <w:t>True</w:t>
      </w:r>
    </w:p>
    <w:p w14:paraId="6B2756AF" w14:textId="71397328" w:rsidR="00EF075A" w:rsidRDefault="00EF075A" w:rsidP="00EF075A">
      <w:pPr>
        <w:ind w:left="72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Explanation: </w:t>
      </w:r>
      <w:r w:rsidR="00833227">
        <w:rPr>
          <w:rFonts w:ascii="Times New Roman" w:hAnsi="Times New Roman" w:cs="Times New Roman"/>
          <w:sz w:val="24"/>
          <w:szCs w:val="24"/>
        </w:rPr>
        <w:t>Learner attention is highest in the first 10-15 minutes of a presentation, then falls steadily without learner engagement. Incorporating an interactive component to your presentation every 10-15 minutes can</w:t>
      </w:r>
      <w:r w:rsidR="00CC50E1">
        <w:rPr>
          <w:rFonts w:ascii="Times New Roman" w:hAnsi="Times New Roman" w:cs="Times New Roman"/>
          <w:sz w:val="24"/>
          <w:szCs w:val="24"/>
        </w:rPr>
        <w:t xml:space="preserve"> re-engage learners and increase attention</w:t>
      </w:r>
      <w:r w:rsidR="00B2297B">
        <w:rPr>
          <w:rFonts w:ascii="Times New Roman" w:hAnsi="Times New Roman" w:cs="Times New Roman"/>
          <w:sz w:val="24"/>
          <w:szCs w:val="24"/>
        </w:rPr>
        <w:t xml:space="preserve"> again.</w:t>
      </w:r>
    </w:p>
    <w:p w14:paraId="16BCE466" w14:textId="6B67741D" w:rsidR="00C02389" w:rsidRDefault="00C02389" w:rsidP="00EF075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754589" w14:textId="7AAD773D" w:rsidR="00C02389" w:rsidRPr="00754311" w:rsidRDefault="00C02389" w:rsidP="00C02389">
      <w:pPr>
        <w:pStyle w:val="ListParagraph"/>
        <w:numPr>
          <w:ilvl w:val="0"/>
          <w:numId w:val="2"/>
        </w:numPr>
      </w:pPr>
      <w:r w:rsidRPr="00754311">
        <w:t xml:space="preserve">MCQ: </w:t>
      </w:r>
      <w:r w:rsidR="00793824">
        <w:t>Which is the following improves readability for power point slides?</w:t>
      </w:r>
    </w:p>
    <w:p w14:paraId="12F9534B" w14:textId="00EC2C77" w:rsidR="00C02389" w:rsidRPr="00754311" w:rsidRDefault="00B87121" w:rsidP="00C02389">
      <w:pPr>
        <w:pStyle w:val="ListParagraph"/>
        <w:numPr>
          <w:ilvl w:val="0"/>
          <w:numId w:val="3"/>
        </w:numPr>
      </w:pPr>
      <w:r>
        <w:t>A</w:t>
      </w:r>
      <w:r w:rsidR="00C02389">
        <w:t xml:space="preserve"> </w:t>
      </w:r>
      <w:r w:rsidR="00D61AF4">
        <w:t>multicolor or</w:t>
      </w:r>
      <w:r w:rsidR="00C02389">
        <w:t xml:space="preserve"> picture background </w:t>
      </w:r>
    </w:p>
    <w:p w14:paraId="01FD1268" w14:textId="0B64DEE0" w:rsidR="00C02389" w:rsidRDefault="00D61AF4" w:rsidP="00C02389">
      <w:pPr>
        <w:pStyle w:val="ListParagraph"/>
        <w:numPr>
          <w:ilvl w:val="0"/>
          <w:numId w:val="3"/>
        </w:numPr>
      </w:pPr>
      <w:r>
        <w:t>A</w:t>
      </w:r>
      <w:r w:rsidR="00C02389">
        <w:t xml:space="preserve"> serif font such as Times New Roman </w:t>
      </w:r>
    </w:p>
    <w:p w14:paraId="64B7CF0F" w14:textId="07E5322C" w:rsidR="00C02389" w:rsidRPr="00754311" w:rsidRDefault="00D61AF4" w:rsidP="00C02389">
      <w:pPr>
        <w:pStyle w:val="ListParagraph"/>
        <w:numPr>
          <w:ilvl w:val="0"/>
          <w:numId w:val="3"/>
        </w:numPr>
      </w:pPr>
      <w:r>
        <w:t>Text written in full sentences</w:t>
      </w:r>
    </w:p>
    <w:p w14:paraId="69F812D1" w14:textId="79FD2E75" w:rsidR="00C02389" w:rsidRDefault="00D94AA7" w:rsidP="00B2297B">
      <w:pPr>
        <w:pStyle w:val="ListParagraph"/>
        <w:numPr>
          <w:ilvl w:val="0"/>
          <w:numId w:val="3"/>
        </w:numPr>
      </w:pPr>
      <w:r>
        <w:t>A</w:t>
      </w:r>
      <w:r w:rsidR="00C02389">
        <w:t xml:space="preserve"> maximum of 35 words/slide and 5-7 lines/slide</w:t>
      </w:r>
    </w:p>
    <w:p w14:paraId="6DCD3120" w14:textId="77777777" w:rsidR="00B2297B" w:rsidRPr="00754311" w:rsidRDefault="00B2297B" w:rsidP="00B2297B">
      <w:pPr>
        <w:pStyle w:val="ListParagraph"/>
        <w:ind w:left="1080"/>
      </w:pPr>
    </w:p>
    <w:p w14:paraId="6CF6D8D4" w14:textId="77777777" w:rsidR="00C02389" w:rsidRPr="00754311" w:rsidRDefault="00C02389" w:rsidP="00C023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4E93559" w14:textId="4A65CC0E" w:rsidR="00C02389" w:rsidRDefault="00C02389" w:rsidP="00C02389">
      <w:pPr>
        <w:ind w:left="72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Explanation: </w:t>
      </w:r>
      <w:r>
        <w:rPr>
          <w:rFonts w:ascii="Times New Roman" w:hAnsi="Times New Roman" w:cs="Times New Roman"/>
          <w:sz w:val="24"/>
          <w:szCs w:val="24"/>
        </w:rPr>
        <w:t>When designing power point slides, readability is key. Consider using black text on a white background or yellow text on a blue background and a sans serif font such as Calibri to improve readability. Include bulleted content with a maximum of 35 words and 7 lines/slide.  Avoid full sentences and paragraphs.</w:t>
      </w:r>
    </w:p>
    <w:p w14:paraId="1F30B069" w14:textId="29EC6B29" w:rsidR="00F61C00" w:rsidRDefault="00F61C00" w:rsidP="00C02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D7D484" w14:textId="3DDCBF39" w:rsidR="00F61C00" w:rsidRDefault="00B56DB3" w:rsidP="00F61C00">
      <w:pPr>
        <w:pStyle w:val="ListParagraph"/>
        <w:numPr>
          <w:ilvl w:val="0"/>
          <w:numId w:val="2"/>
        </w:numPr>
      </w:pPr>
      <w:r>
        <w:t>True or false: Cold call is a technique that should be used to call out learners who are not paying attention to the presentation.</w:t>
      </w:r>
    </w:p>
    <w:p w14:paraId="58A0CE23" w14:textId="2C110C27" w:rsidR="00B56DB3" w:rsidRDefault="00B56DB3" w:rsidP="00B56DB3">
      <w:pPr>
        <w:pStyle w:val="ListParagraph"/>
      </w:pPr>
    </w:p>
    <w:p w14:paraId="250BFC2D" w14:textId="621C6FC9" w:rsidR="00B56DB3" w:rsidRDefault="00B56DB3" w:rsidP="00B56DB3">
      <w:pPr>
        <w:pStyle w:val="ListParagraph"/>
      </w:pPr>
      <w:r>
        <w:t>Answer: False</w:t>
      </w:r>
    </w:p>
    <w:p w14:paraId="77F94D5B" w14:textId="32198602" w:rsidR="00B56DB3" w:rsidRDefault="00B56DB3" w:rsidP="00B56DB3">
      <w:pPr>
        <w:pStyle w:val="ListParagraph"/>
      </w:pPr>
    </w:p>
    <w:p w14:paraId="1836CE93" w14:textId="192E3905" w:rsidR="00B56DB3" w:rsidRDefault="00B56DB3" w:rsidP="00B56DB3">
      <w:pPr>
        <w:pStyle w:val="ListParagraph"/>
      </w:pPr>
      <w:r>
        <w:t xml:space="preserve">Explanation: </w:t>
      </w:r>
      <w:r w:rsidR="00854A2C">
        <w:t>Cold call is a technique of calling on a learner to answer a question without asking for a volunteer. When used best, cold call should be predictable, systematic and positive.</w:t>
      </w:r>
      <w:r w:rsidR="00B333E1">
        <w:t xml:space="preserve">  It is a technique that can help keep all learners engaged, but should not be punitive.</w:t>
      </w:r>
    </w:p>
    <w:p w14:paraId="1D4E3196" w14:textId="5A35FADF" w:rsidR="00B333E1" w:rsidRDefault="00B333E1" w:rsidP="00B333E1"/>
    <w:p w14:paraId="63E622C3" w14:textId="2B6F6AE0" w:rsidR="00B333E1" w:rsidRDefault="00526745" w:rsidP="00B333E1">
      <w:pPr>
        <w:pStyle w:val="ListParagraph"/>
        <w:numPr>
          <w:ilvl w:val="0"/>
          <w:numId w:val="2"/>
        </w:numPr>
      </w:pPr>
      <w:r>
        <w:t>When</w:t>
      </w:r>
      <w:r w:rsidR="00481E19">
        <w:t xml:space="preserve"> team-based learning with smaller groups within a large group session, make sure you have a specific plan for which of the following:</w:t>
      </w:r>
    </w:p>
    <w:p w14:paraId="6C63EF3C" w14:textId="14B06DEE" w:rsidR="00481E19" w:rsidRDefault="00481E19" w:rsidP="00481E19">
      <w:pPr>
        <w:pStyle w:val="ListParagraph"/>
        <w:numPr>
          <w:ilvl w:val="0"/>
          <w:numId w:val="5"/>
        </w:numPr>
      </w:pPr>
      <w:r>
        <w:t>Group size and plan for getting into groups</w:t>
      </w:r>
    </w:p>
    <w:p w14:paraId="4F75F61D" w14:textId="5A81F50A" w:rsidR="00481E19" w:rsidRDefault="00481E19" w:rsidP="00481E19">
      <w:pPr>
        <w:pStyle w:val="ListParagraph"/>
        <w:numPr>
          <w:ilvl w:val="0"/>
          <w:numId w:val="5"/>
        </w:numPr>
      </w:pPr>
      <w:r>
        <w:t>Task</w:t>
      </w:r>
      <w:r w:rsidR="009F1B88">
        <w:t xml:space="preserve"> for the group to complete</w:t>
      </w:r>
    </w:p>
    <w:p w14:paraId="46A26603" w14:textId="1E055D1B" w:rsidR="009F1B88" w:rsidRPr="009F1B88" w:rsidRDefault="009F1B88" w:rsidP="00481E19">
      <w:pPr>
        <w:pStyle w:val="ListParagraph"/>
        <w:numPr>
          <w:ilvl w:val="0"/>
          <w:numId w:val="5"/>
        </w:numPr>
      </w:pPr>
      <w:r>
        <w:t>Time limit</w:t>
      </w:r>
    </w:p>
    <w:p w14:paraId="4ED19E76" w14:textId="21600824" w:rsidR="009F1B88" w:rsidRPr="009F1B88" w:rsidRDefault="009F1B88" w:rsidP="00481E19">
      <w:pPr>
        <w:pStyle w:val="ListParagraph"/>
        <w:numPr>
          <w:ilvl w:val="0"/>
          <w:numId w:val="5"/>
        </w:numPr>
      </w:pPr>
      <w:r w:rsidRPr="009F1B88">
        <w:t>Plan to debrief</w:t>
      </w:r>
    </w:p>
    <w:p w14:paraId="7C2508DE" w14:textId="47FA5D3B" w:rsidR="009F1B88" w:rsidRPr="009F1B88" w:rsidRDefault="009F1B88" w:rsidP="00481E19">
      <w:pPr>
        <w:pStyle w:val="ListParagraph"/>
        <w:numPr>
          <w:ilvl w:val="0"/>
          <w:numId w:val="5"/>
        </w:numPr>
      </w:pPr>
      <w:r w:rsidRPr="009F1B88">
        <w:t>All of the above</w:t>
      </w:r>
    </w:p>
    <w:p w14:paraId="6AD785CF" w14:textId="071070DF" w:rsidR="009F1B88" w:rsidRPr="009F1B88" w:rsidRDefault="009F1B88" w:rsidP="009F1B88">
      <w:pPr>
        <w:rPr>
          <w:rFonts w:ascii="Times New Roman" w:hAnsi="Times New Roman" w:cs="Times New Roman"/>
          <w:sz w:val="24"/>
          <w:szCs w:val="24"/>
        </w:rPr>
      </w:pPr>
    </w:p>
    <w:p w14:paraId="1CC6D562" w14:textId="3CF9A501" w:rsidR="009F1B88" w:rsidRPr="009F1B88" w:rsidRDefault="009F1B88" w:rsidP="009F1B88">
      <w:pPr>
        <w:ind w:left="720"/>
        <w:rPr>
          <w:rFonts w:ascii="Times New Roman" w:hAnsi="Times New Roman" w:cs="Times New Roman"/>
          <w:sz w:val="24"/>
          <w:szCs w:val="24"/>
        </w:rPr>
      </w:pPr>
      <w:r w:rsidRPr="009F1B88">
        <w:rPr>
          <w:rFonts w:ascii="Times New Roman" w:hAnsi="Times New Roman" w:cs="Times New Roman"/>
          <w:sz w:val="24"/>
          <w:szCs w:val="24"/>
        </w:rPr>
        <w:t>Answer: E</w:t>
      </w:r>
    </w:p>
    <w:p w14:paraId="503BFBD7" w14:textId="184979B3" w:rsidR="009F1B88" w:rsidRPr="009F1B88" w:rsidRDefault="009F1B88" w:rsidP="009F1B88">
      <w:pPr>
        <w:ind w:left="720"/>
        <w:rPr>
          <w:rFonts w:ascii="Times New Roman" w:hAnsi="Times New Roman" w:cs="Times New Roman"/>
          <w:sz w:val="24"/>
          <w:szCs w:val="24"/>
        </w:rPr>
      </w:pPr>
      <w:r w:rsidRPr="009F1B88">
        <w:rPr>
          <w:rFonts w:ascii="Times New Roman" w:hAnsi="Times New Roman" w:cs="Times New Roman"/>
          <w:sz w:val="24"/>
          <w:szCs w:val="24"/>
        </w:rPr>
        <w:lastRenderedPageBreak/>
        <w:t xml:space="preserve">Explanation: </w:t>
      </w:r>
      <w:r>
        <w:rPr>
          <w:rFonts w:ascii="Times New Roman" w:hAnsi="Times New Roman" w:cs="Times New Roman"/>
          <w:sz w:val="24"/>
          <w:szCs w:val="24"/>
        </w:rPr>
        <w:t>Small group break out sessions are a great way to allow</w:t>
      </w:r>
      <w:r w:rsidR="008049FF">
        <w:rPr>
          <w:rFonts w:ascii="Times New Roman" w:hAnsi="Times New Roman" w:cs="Times New Roman"/>
          <w:sz w:val="24"/>
          <w:szCs w:val="24"/>
        </w:rPr>
        <w:t xml:space="preserve"> learners to interact within a large group session. When setting up the small groups, make sure you have a plan for how the audience is going to break into small groups so you don’t lose a lot of time rearranging the room. Also have a specific plan for the task the small groups are working on, the time limit and a plan to debrief.</w:t>
      </w:r>
    </w:p>
    <w:p w14:paraId="7ADE740B" w14:textId="77777777" w:rsidR="00C02389" w:rsidRPr="00754311" w:rsidRDefault="00C02389" w:rsidP="00EF075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395B73" w14:textId="77777777" w:rsidR="00EF075A" w:rsidRPr="00754311" w:rsidRDefault="00EF075A" w:rsidP="0075431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43D1BD" w14:textId="77777777" w:rsidR="00754311" w:rsidRPr="00754311" w:rsidRDefault="00754311" w:rsidP="00754311">
      <w:pPr>
        <w:rPr>
          <w:rFonts w:ascii="Times New Roman" w:hAnsi="Times New Roman" w:cs="Times New Roman"/>
          <w:sz w:val="24"/>
          <w:szCs w:val="24"/>
        </w:rPr>
      </w:pPr>
    </w:p>
    <w:p w14:paraId="254F63A9" w14:textId="77777777" w:rsidR="00754311" w:rsidRPr="00754311" w:rsidRDefault="00754311" w:rsidP="0075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81DB" w14:textId="77777777" w:rsidR="00754311" w:rsidRPr="00754311" w:rsidRDefault="00754311" w:rsidP="00754311">
      <w:pPr>
        <w:rPr>
          <w:rFonts w:ascii="Times New Roman" w:hAnsi="Times New Roman" w:cs="Times New Roman"/>
          <w:sz w:val="24"/>
          <w:szCs w:val="24"/>
        </w:rPr>
      </w:pPr>
    </w:p>
    <w:p w14:paraId="68CC1D7F" w14:textId="77777777" w:rsidR="00754311" w:rsidRPr="00754311" w:rsidRDefault="00754311">
      <w:pPr>
        <w:rPr>
          <w:rFonts w:ascii="Times New Roman" w:hAnsi="Times New Roman" w:cs="Times New Roman"/>
          <w:sz w:val="24"/>
          <w:szCs w:val="24"/>
        </w:rPr>
      </w:pPr>
    </w:p>
    <w:sectPr w:rsidR="00754311" w:rsidRPr="0075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06F"/>
    <w:multiLevelType w:val="hybridMultilevel"/>
    <w:tmpl w:val="D71E38FC"/>
    <w:lvl w:ilvl="0" w:tplc="7A52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87C1B"/>
    <w:multiLevelType w:val="hybridMultilevel"/>
    <w:tmpl w:val="D840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6DC7"/>
    <w:multiLevelType w:val="hybridMultilevel"/>
    <w:tmpl w:val="762C0C0E"/>
    <w:lvl w:ilvl="0" w:tplc="F34E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0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2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3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382782"/>
    <w:multiLevelType w:val="hybridMultilevel"/>
    <w:tmpl w:val="ECCABFC0"/>
    <w:lvl w:ilvl="0" w:tplc="68B8B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F4A7E"/>
    <w:multiLevelType w:val="hybridMultilevel"/>
    <w:tmpl w:val="AA2E45F0"/>
    <w:lvl w:ilvl="0" w:tplc="34424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3583023">
    <w:abstractNumId w:val="2"/>
  </w:num>
  <w:num w:numId="2" w16cid:durableId="160392231">
    <w:abstractNumId w:val="1"/>
  </w:num>
  <w:num w:numId="3" w16cid:durableId="1746537033">
    <w:abstractNumId w:val="0"/>
  </w:num>
  <w:num w:numId="4" w16cid:durableId="1823502446">
    <w:abstractNumId w:val="4"/>
  </w:num>
  <w:num w:numId="5" w16cid:durableId="89970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1"/>
    <w:rsid w:val="00097DBF"/>
    <w:rsid w:val="000B5C9D"/>
    <w:rsid w:val="001E469A"/>
    <w:rsid w:val="002A54FF"/>
    <w:rsid w:val="002C2365"/>
    <w:rsid w:val="0032142F"/>
    <w:rsid w:val="00446D1D"/>
    <w:rsid w:val="00464FF2"/>
    <w:rsid w:val="00474CB5"/>
    <w:rsid w:val="00481E19"/>
    <w:rsid w:val="00526745"/>
    <w:rsid w:val="00571C0C"/>
    <w:rsid w:val="005C0775"/>
    <w:rsid w:val="00736CC3"/>
    <w:rsid w:val="00754311"/>
    <w:rsid w:val="00793824"/>
    <w:rsid w:val="008049FF"/>
    <w:rsid w:val="00833227"/>
    <w:rsid w:val="00854A2C"/>
    <w:rsid w:val="009F1B88"/>
    <w:rsid w:val="00A67581"/>
    <w:rsid w:val="00B2297B"/>
    <w:rsid w:val="00B25625"/>
    <w:rsid w:val="00B333E1"/>
    <w:rsid w:val="00B56DB3"/>
    <w:rsid w:val="00B87121"/>
    <w:rsid w:val="00C02389"/>
    <w:rsid w:val="00C5299D"/>
    <w:rsid w:val="00CA78BC"/>
    <w:rsid w:val="00CC50E1"/>
    <w:rsid w:val="00D61AF4"/>
    <w:rsid w:val="00D94AA7"/>
    <w:rsid w:val="00DA274B"/>
    <w:rsid w:val="00DD36C8"/>
    <w:rsid w:val="00EE73FE"/>
    <w:rsid w:val="00EF075A"/>
    <w:rsid w:val="00F54FC5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FC1"/>
  <w15:chartTrackingRefBased/>
  <w15:docId w15:val="{9316C7FA-9A6A-48A9-A128-C806F84E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3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sonmk@up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5" ma:contentTypeDescription="Create a new document." ma:contentTypeScope="" ma:versionID="bdd17c26e8eb7d1c57e13fe0690cb56e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35c44a1be25624a6d892cc8455bb2068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FB5F9-7C1F-4B7B-8481-CC22C61573BA}">
  <ds:schemaRefs>
    <ds:schemaRef ds:uri="http://purl.org/dc/elements/1.1/"/>
    <ds:schemaRef ds:uri="http://schemas.microsoft.com/office/2006/metadata/properties"/>
    <ds:schemaRef ds:uri="ba28866e-f5dd-4244-9a9f-5ea6ca46919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19515c-c7c5-4d54-a7fa-846a4eb380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935552-9109-4A75-B05C-ED7E6FE1D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588D-C1AA-4911-9DFA-DFE27371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Maggie</dc:creator>
  <cp:keywords/>
  <dc:description/>
  <cp:lastModifiedBy>Splane, Melinda</cp:lastModifiedBy>
  <cp:revision>37</cp:revision>
  <dcterms:created xsi:type="dcterms:W3CDTF">2020-04-25T11:14:00Z</dcterms:created>
  <dcterms:modified xsi:type="dcterms:W3CDTF">2022-07-07T05:04:00Z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