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Southeast PA</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color w:val="222222"/>
          <w:rtl w:val="0"/>
        </w:rPr>
        <w:t xml:space="preserve">PCMH Learning Network Session</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August 2, 2022</w:t>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color w:val="222222"/>
          <w:highlight w:val="white"/>
          <w:rtl w:val="0"/>
        </w:rPr>
        <w:t xml:space="preserve">8:30 a.m. to 4 p.m.</w:t>
      </w:r>
      <w:r w:rsidDel="00000000" w:rsidR="00000000" w:rsidRPr="00000000">
        <w:rPr>
          <w:rtl w:val="0"/>
        </w:rPr>
      </w:r>
    </w:p>
    <w:p w:rsidR="00000000" w:rsidDel="00000000" w:rsidP="00000000" w:rsidRDefault="00000000" w:rsidRPr="00000000" w14:paraId="00000006">
      <w:pPr>
        <w:shd w:fill="ffffff" w:val="clear"/>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07">
      <w:pPr>
        <w:shd w:fill="ffffff" w:val="clear"/>
        <w:rPr>
          <w:rFonts w:ascii="Arial" w:cs="Arial" w:eastAsia="Arial" w:hAnsi="Arial"/>
          <w:color w:val="222222"/>
        </w:rPr>
      </w:pPr>
      <w:r w:rsidDel="00000000" w:rsidR="00000000" w:rsidRPr="00000000">
        <w:rPr>
          <w:rFonts w:ascii="Arial" w:cs="Arial" w:eastAsia="Arial" w:hAnsi="Arial"/>
          <w:b w:val="1"/>
          <w:color w:val="222222"/>
          <w:rtl w:val="0"/>
        </w:rPr>
        <w:t xml:space="preserve">Join Zoom Meeting: </w:t>
      </w: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b w:val="1"/>
          <w:color w:val="222222"/>
        </w:rPr>
      </w:pPr>
      <w:r w:rsidDel="00000000" w:rsidR="00000000" w:rsidRPr="00000000">
        <w:rPr>
          <w:rFonts w:ascii="Arial" w:cs="Arial" w:eastAsia="Arial" w:hAnsi="Arial"/>
          <w:b w:val="1"/>
          <w:color w:val="222222"/>
          <w:rtl w:val="0"/>
        </w:rPr>
        <w:t xml:space="preserve">Learning Objectives:</w:t>
      </w:r>
    </w:p>
    <w:p w:rsidR="00000000" w:rsidDel="00000000" w:rsidP="00000000" w:rsidRDefault="00000000" w:rsidRPr="00000000" w14:paraId="0000000A">
      <w:pPr>
        <w:shd w:fill="ffffff" w:val="clea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to become a certified, billable Tobacco Cessation Counseling provider or how to refer patients to Tobacco Cessation Counseling providers in your region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best practices for receiving Integrated Care Plans (ICPs) and using this information to improve care coordination and outcomes for patients with serious mental illness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and when to refer patients to the Physical Health MCOs’ Special Needs Units (SNUs)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standard work for integrating mental healthcare and follow-up in primary care settings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hd w:fill="ffffff" w:val="clear"/>
        <w:rPr>
          <w:rFonts w:ascii="Arial" w:cs="Arial" w:eastAsia="Arial" w:hAnsi="Arial"/>
          <w:b w:val="1"/>
          <w:color w:val="222222"/>
        </w:rPr>
      </w:pPr>
      <w:r w:rsidDel="00000000" w:rsidR="00000000" w:rsidRPr="00000000">
        <w:rPr>
          <w:rFonts w:ascii="Arial" w:cs="Arial" w:eastAsia="Arial" w:hAnsi="Arial"/>
          <w:b w:val="1"/>
          <w:color w:val="222222"/>
          <w:rtl w:val="0"/>
        </w:rPr>
        <w:t xml:space="preserve">Agenda:</w:t>
      </w:r>
    </w:p>
    <w:p w:rsidR="00000000" w:rsidDel="00000000" w:rsidP="00000000" w:rsidRDefault="00000000" w:rsidRPr="00000000" w14:paraId="00000011">
      <w:pPr>
        <w:shd w:fill="ffffff" w:val="clea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2">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8:30 a.m. to 8:45 a.m. –</w:t>
      </w:r>
      <w:r w:rsidDel="00000000" w:rsidR="00000000" w:rsidRPr="00000000">
        <w:rPr>
          <w:rFonts w:ascii="Arial" w:cs="Arial" w:eastAsia="Arial" w:hAnsi="Arial"/>
          <w:b w:val="1"/>
          <w:color w:val="222222"/>
          <w:rtl w:val="0"/>
        </w:rPr>
        <w:t xml:space="preserve"> Welcome &amp; Overview </w:t>
      </w:r>
      <w:r w:rsidDel="00000000" w:rsidR="00000000" w:rsidRPr="00000000">
        <w:rPr>
          <w:rFonts w:ascii="Arial" w:cs="Arial" w:eastAsia="Arial" w:hAnsi="Arial"/>
          <w:color w:val="222222"/>
          <w:rtl w:val="0"/>
        </w:rPr>
        <w:t xml:space="preserve">– Suzanne Cohen, MPH, Senior Director of Population Health, The Health Federation of Philadelphia</w:t>
      </w:r>
    </w:p>
    <w:p w:rsidR="00000000" w:rsidDel="00000000" w:rsidP="00000000" w:rsidRDefault="00000000" w:rsidRPr="00000000" w14:paraId="00000013">
      <w:pPr>
        <w:shd w:fill="ffffff" w:val="clea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8:45 a.m. to 9:45 a.m.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Presentation: Tobacco Cessation Counseling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color w:val="000000"/>
          <w:u w:val="none"/>
          <w:rtl w:val="0"/>
        </w:rPr>
        <w:t xml:space="preserve">Katie O</w:t>
      </w:r>
      <w:r w:rsidDel="00000000" w:rsidR="00000000" w:rsidRPr="00000000">
        <w:rPr>
          <w:rFonts w:ascii="Arial" w:cs="Arial" w:eastAsia="Arial" w:hAnsi="Arial"/>
          <w:rtl w:val="0"/>
        </w:rPr>
        <w:t xml:space="preserve">’Connor-Jenkins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Program Man</w:t>
      </w:r>
      <w:r w:rsidDel="00000000" w:rsidR="00000000" w:rsidRPr="00000000">
        <w:rPr>
          <w:rFonts w:ascii="Arial" w:cs="Arial" w:eastAsia="Arial" w:hAnsi="Arial"/>
          <w:rtl w:val="0"/>
        </w:rPr>
        <w:t xml:space="preserve">ager, Tobacco Prevention and Control Programs,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Promotion Council of Southeastern PA, Inc.</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1"/>
          <w:rtl w:val="0"/>
        </w:rPr>
        <w:t xml:space="preserve">She will:</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Present a workflow describing the </w:t>
      </w:r>
      <w:hyperlink r:id="rId7">
        <w:r w:rsidDel="00000000" w:rsidR="00000000" w:rsidRPr="00000000">
          <w:rPr>
            <w:rFonts w:ascii="Arial" w:cs="Arial" w:eastAsia="Arial" w:hAnsi="Arial"/>
            <w:b w:val="0"/>
            <w:i w:val="1"/>
            <w:smallCaps w:val="0"/>
            <w:strike w:val="0"/>
            <w:color w:val="0563c1"/>
            <w:sz w:val="24"/>
            <w:szCs w:val="24"/>
            <w:u w:val="single"/>
            <w:shd w:fill="auto" w:val="clear"/>
            <w:vertAlign w:val="baseline"/>
            <w:rtl w:val="0"/>
          </w:rPr>
          <w:t xml:space="preserve">certification/registry process</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and the </w:t>
      </w:r>
      <w:hyperlink r:id="rId8">
        <w:r w:rsidDel="00000000" w:rsidR="00000000" w:rsidRPr="00000000">
          <w:rPr>
            <w:rFonts w:ascii="Arial" w:cs="Arial" w:eastAsia="Arial" w:hAnsi="Arial"/>
            <w:b w:val="0"/>
            <w:i w:val="1"/>
            <w:smallCaps w:val="0"/>
            <w:strike w:val="0"/>
            <w:color w:val="0563c1"/>
            <w:sz w:val="24"/>
            <w:szCs w:val="24"/>
            <w:u w:val="single"/>
            <w:shd w:fill="auto" w:val="clear"/>
            <w:vertAlign w:val="baseline"/>
            <w:rtl w:val="0"/>
          </w:rPr>
          <w:t xml:space="preserve">billing process</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Mention any implications or differences for FQHCs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Provide an example of a primary care workflow, showing how tobacco screening and counseling is built into standard work (noting the similarities with depression screening and follow-up and SBIRT workflows)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Show a </w:t>
      </w:r>
      <w:hyperlink r:id="rId9">
        <w:r w:rsidDel="00000000" w:rsidR="00000000" w:rsidRPr="00000000">
          <w:rPr>
            <w:rFonts w:ascii="Arial" w:cs="Arial" w:eastAsia="Arial" w:hAnsi="Arial"/>
            <w:b w:val="0"/>
            <w:i w:val="1"/>
            <w:smallCaps w:val="0"/>
            <w:strike w:val="0"/>
            <w:color w:val="0563c1"/>
            <w:sz w:val="24"/>
            <w:szCs w:val="24"/>
            <w:u w:val="single"/>
            <w:shd w:fill="auto" w:val="clear"/>
            <w:vertAlign w:val="baseline"/>
            <w:rtl w:val="0"/>
          </w:rPr>
          <w:t xml:space="preserve">map of the certified providers</w:t>
        </w:r>
      </w:hyperlink>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in the region for referrals </w:t>
      </w: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9:45 a.m. to 10:00 a.m.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Break </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10:00 a.m. to 10:45 a.m.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Panel: Examples of How PCMHs, MCO Special Needs Units (SNUs), and the Behavioral and Physical Health Integrated Care Plan (ICP) Program Collaborate to Improve Whole Person Health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Panel of PCMHs, SNUs,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ICP coordinators with successful examples of collaboration (which would be identified via the “PCMH and MCO SNU/ICP Collaboration Survey”)</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10:45 a.m. to 11:00 a.m.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Transition to Breakouts</w:t>
      </w: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11:00 a.m. to 12:00 p.m.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Breakouts: How to Refer Patients to Special Needs Units (SNUs) and Coordinate Whole Person Care with Integrated Care Plans (ICPs) to Improve Outcomes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Facilitated by PRHI and Health Federation of Philadelphia Facilitators</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Pre-work prior to the session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each MCO SNU/ICP Team will be asked to bring information to the session about their current processes in response to the following questions: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does the MCO send the ICP Plan to PCMHs, and who receives it at the PCMH?</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this process involves obtaining consents at the MCO-level to share information for care coordination purposes, which consent forms are used and for what purposes?</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Pre-work prior to the session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each PCMH will be asked to bring information to the session about their current processes in response to the following questions: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PCMH receives the ICP Plan, what actions and roles does this trigger at the PCMH-level to help patients follow-up on referrals to behavioral health treatment and community services?</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and when do PCMHs call the SNU hotlines for their patients. What has been the experience of PCMHs when they make this referral and how have the SNUs helped patients?</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During the breakout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each PCMH and MCO is asked to report out on these questions, describing their current process/experience, including what is working well and what is not working well. The PRHI/HFP facilitators capture their processes (including the differences, successes, and challenges) on a process map using butcher paper or an electronic process mapping tool).</w:t>
      </w: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12:00 p.m. to 1:00 p.m.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Lunch &amp; Networking </w:t>
        <w:br w:type="textWrapping"/>
        <w:br w:type="textWrapp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 p.m. to 1:45 p.m.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Presentation: Why and How to Establish Roles and Competencies within Primary Care Settings to Follow-up and Care for Mental Health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PCMH with the best Depression Screening and Follow-up Workflow from the Spring Regional Sessions would be invited to present a deeper dive, explaining why and how they implemented and standardized these roles and processes </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1:45 p.m. to 2:00 p.m.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Transition to Breakout</w:t>
      </w: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 p.m. to 3:00 p.m.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Breakouts: How to Integrate Mental Healthcare in Primary Care Offices</w:t>
      </w: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Pre-work prior to the session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each PCMH will be asked to bring their current Depression Screening and Follow-up Workflow, building on their workflows that they presented during the Spring Regional sessions. For any PCMHs without a Depression Screening and Follow-up workflow, they will be asked to describe their plans for implementing depression screening and follow-up services and any remaining questions they have to inform their plans and protocols.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Pre-work prior to the session: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each PCMH will be asked to bring information to the session about their current processes in response to the following questions, supplementing the information in their Depression Screening and Follow-up Workflows.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How does your PCMH introduce and describe the depression screen to patients either verbally, on the electronic screening form, or on the paper screening form?</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What key messages and patient education materials do your providers use when reviewing positive depression screening results with patients?</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What is your PCMH’s process and protocols for screening for and responding to suicide risk? Based on the regional sessions in the spring, what changes is your team considering?</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your PCMH team includes a behavioral health consultant or care manager, what is their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standard work</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your PCMH teams includes a consulting psychiatrist, what is their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standard work</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How does your PCMH team track the outcomes of the mental health treatment plan to inform adjustments to the care plan (e.g., contact frequency, treatment type such as psychotherapy and/or pharmacotherapy, medication changes, community services/supports, etc.). As a follow-up to the spring sessions, how is your team incorporating the Response and Remission measures into this process?</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During the breakout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each PCMH is asked to report out on these questions, describing their process, including what is working well and what is not working well. The PRHI/HFP facilitators offer feedback based on best practices, facilitate peer-to-peer learning, and capture their processes (including the differences, successes, and challenges) on a flip chart.</w:t>
      </w: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3:00 p.m. to 3:15 p.m.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Transition to Main Room for Next Steps and Wrap Up</w:t>
      </w: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3:15 p.m. to 4:00 p.m.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Takeaways, Next Steps, and Wrap up</w:t>
      </w: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During the session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Each PCMH team reflects on the key takeaways and tactics they would like to take back to their team and then verbally reports out on these next steps. </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Each team also completes the session evaluation and spends time completing the PCMH Depression Screening and Follow-up Survey for their processes as of July (due by the end of August). </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Each PMCH will also have a copy of their most recent PCMH Depression Screening and Follow-up Survey at their team’s table for reference.</w:t>
      </w:r>
    </w:p>
    <w:p w:rsidR="00000000" w:rsidDel="00000000" w:rsidP="00000000" w:rsidRDefault="00000000" w:rsidRPr="00000000" w14:paraId="0000004F">
      <w:pPr>
        <w:shd w:fill="ffffff" w:val="clear"/>
        <w:rPr>
          <w:rFonts w:ascii="Arial" w:cs="Arial" w:eastAsia="Arial" w:hAnsi="Arial"/>
          <w:color w:val="222222"/>
          <w:highlight w:val="white"/>
        </w:rPr>
      </w:pPr>
      <w:r w:rsidDel="00000000" w:rsidR="00000000" w:rsidRPr="00000000">
        <w:rPr>
          <w:rtl w:val="0"/>
        </w:rPr>
      </w:r>
    </w:p>
    <w:sectPr>
      <w:headerReference r:id="rId10" w:type="default"/>
      <w:footerReference r:id="rId11" w:type="default"/>
      <w:pgSz w:h="15840" w:w="12240" w:orient="portrait"/>
      <w:pgMar w:bottom="1170" w:top="1440" w:left="1440" w:right="1440" w:header="1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680"/>
        <w:tab w:val="right" w:pos="9360"/>
      </w:tabs>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Page </w:t>
    </w:r>
    <w:r w:rsidDel="00000000" w:rsidR="00000000" w:rsidRPr="00000000">
      <w:rPr>
        <w:rFonts w:ascii="Arial Narrow" w:cs="Arial Narrow" w:eastAsia="Arial Narrow" w:hAnsi="Arial Narrow"/>
        <w:color w:val="000000"/>
        <w:sz w:val="20"/>
        <w:szCs w:val="20"/>
      </w:rPr>
      <w:fldChar w:fldCharType="begin"/>
      <w:instrText xml:space="preserve">PAGE</w:instrText>
      <w:fldChar w:fldCharType="separate"/>
      <w:fldChar w:fldCharType="end"/>
    </w:r>
    <w:r w:rsidDel="00000000" w:rsidR="00000000" w:rsidRPr="00000000">
      <w:rPr>
        <w:rFonts w:ascii="Arial Narrow" w:cs="Arial Narrow" w:eastAsia="Arial Narrow" w:hAnsi="Arial Narrow"/>
        <w:color w:val="000000"/>
        <w:sz w:val="20"/>
        <w:szCs w:val="20"/>
        <w:rtl w:val="0"/>
      </w:rPr>
      <w:t xml:space="preserve"> of </w:t>
    </w:r>
    <w:r w:rsidDel="00000000" w:rsidR="00000000" w:rsidRPr="00000000">
      <w:rPr>
        <w:rFonts w:ascii="Arial Narrow" w:cs="Arial Narrow" w:eastAsia="Arial Narrow" w:hAnsi="Arial Narrow"/>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5278854" cy="967616"/>
          <wp:effectExtent b="0" l="0" r="0" t="0"/>
          <wp:docPr descr="cid:image001.jpg@01D69E23.9EF3F380" id="5" name="image1.jpg"/>
          <a:graphic>
            <a:graphicData uri="http://schemas.openxmlformats.org/drawingml/2006/picture">
              <pic:pic>
                <pic:nvPicPr>
                  <pic:cNvPr descr="cid:image001.jpg@01D69E23.9EF3F380" id="0" name="image1.jpg"/>
                  <pic:cNvPicPr preferRelativeResize="0"/>
                </pic:nvPicPr>
                <pic:blipFill>
                  <a:blip r:embed="rId1"/>
                  <a:srcRect b="0" l="0" r="0" t="0"/>
                  <a:stretch>
                    <a:fillRect/>
                  </a:stretch>
                </pic:blipFill>
                <pic:spPr>
                  <a:xfrm>
                    <a:off x="0" y="0"/>
                    <a:ext cx="5278854" cy="9676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rFonts w:ascii="Arial Narrow" w:cs="Arial Narrow" w:eastAsia="Arial Narrow" w:hAnsi="Arial Narrow"/>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87B86"/>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487B86"/>
    <w:rPr>
      <w:color w:val="0000ff"/>
      <w:u w:val="single"/>
    </w:rPr>
  </w:style>
  <w:style w:type="paragraph" w:styleId="ListParagraph">
    <w:name w:val="List Paragraph"/>
    <w:basedOn w:val="Normal"/>
    <w:uiPriority w:val="1"/>
    <w:qFormat w:val="1"/>
    <w:rsid w:val="000F7386"/>
    <w:pPr>
      <w:spacing w:after="160" w:line="259" w:lineRule="auto"/>
      <w:ind w:left="720"/>
      <w:contextualSpacing w:val="1"/>
    </w:pPr>
    <w:rPr>
      <w:rFonts w:asciiTheme="minorHAnsi" w:cstheme="minorBidi" w:hAnsiTheme="minorHAnsi"/>
      <w:sz w:val="22"/>
      <w:szCs w:val="22"/>
    </w:rPr>
  </w:style>
  <w:style w:type="paragraph" w:styleId="Header">
    <w:name w:val="header"/>
    <w:basedOn w:val="Normal"/>
    <w:link w:val="HeaderChar"/>
    <w:uiPriority w:val="99"/>
    <w:unhideWhenUsed w:val="1"/>
    <w:rsid w:val="00A168F5"/>
    <w:pPr>
      <w:tabs>
        <w:tab w:val="center" w:pos="4680"/>
        <w:tab w:val="right" w:pos="9360"/>
      </w:tabs>
    </w:pPr>
  </w:style>
  <w:style w:type="character" w:styleId="HeaderChar" w:customStyle="1">
    <w:name w:val="Header Char"/>
    <w:basedOn w:val="DefaultParagraphFont"/>
    <w:link w:val="Header"/>
    <w:uiPriority w:val="99"/>
    <w:rsid w:val="00A168F5"/>
    <w:rPr>
      <w:rFonts w:ascii="Times New Roman" w:cs="Times New Roman" w:hAnsi="Times New Roman"/>
      <w:sz w:val="24"/>
      <w:szCs w:val="24"/>
    </w:rPr>
  </w:style>
  <w:style w:type="paragraph" w:styleId="Footer">
    <w:name w:val="footer"/>
    <w:basedOn w:val="Normal"/>
    <w:link w:val="FooterChar"/>
    <w:uiPriority w:val="99"/>
    <w:unhideWhenUsed w:val="1"/>
    <w:rsid w:val="00A168F5"/>
    <w:pPr>
      <w:tabs>
        <w:tab w:val="center" w:pos="4680"/>
        <w:tab w:val="right" w:pos="9360"/>
      </w:tabs>
    </w:pPr>
  </w:style>
  <w:style w:type="character" w:styleId="FooterChar" w:customStyle="1">
    <w:name w:val="Footer Char"/>
    <w:basedOn w:val="DefaultParagraphFont"/>
    <w:link w:val="Footer"/>
    <w:uiPriority w:val="99"/>
    <w:rsid w:val="00A168F5"/>
    <w:rPr>
      <w:rFonts w:ascii="Times New Roman" w:cs="Times New Roman" w:hAnsi="Times New Roman"/>
      <w:sz w:val="24"/>
      <w:szCs w:val="24"/>
    </w:rPr>
  </w:style>
  <w:style w:type="character" w:styleId="FollowedHyperlink">
    <w:name w:val="FollowedHyperlink"/>
    <w:basedOn w:val="DefaultParagraphFont"/>
    <w:uiPriority w:val="99"/>
    <w:semiHidden w:val="1"/>
    <w:unhideWhenUsed w:val="1"/>
    <w:rsid w:val="00A168F5"/>
    <w:rPr>
      <w:color w:val="954f72" w:themeColor="followedHyperlink"/>
      <w:u w:val="single"/>
    </w:rPr>
  </w:style>
  <w:style w:type="paragraph" w:styleId="NormalWeb">
    <w:name w:val="Normal (Web)"/>
    <w:basedOn w:val="Normal"/>
    <w:uiPriority w:val="99"/>
    <w:unhideWhenUsed w:val="1"/>
    <w:rsid w:val="00A168F5"/>
    <w:pPr>
      <w:spacing w:after="100" w:afterAutospacing="1" w:before="100" w:beforeAutospacing="1"/>
    </w:pPr>
  </w:style>
  <w:style w:type="character" w:styleId="UnresolvedMention1" w:customStyle="1">
    <w:name w:val="Unresolved Mention1"/>
    <w:basedOn w:val="DefaultParagraphFont"/>
    <w:uiPriority w:val="99"/>
    <w:semiHidden w:val="1"/>
    <w:unhideWhenUsed w:val="1"/>
    <w:rsid w:val="00C61952"/>
    <w:rPr>
      <w:color w:val="605e5c"/>
      <w:shd w:color="auto" w:fill="e1dfdd" w:val="clear"/>
    </w:rPr>
  </w:style>
  <w:style w:type="character" w:styleId="il" w:customStyle="1">
    <w:name w:val="il"/>
    <w:basedOn w:val="DefaultParagraphFont"/>
    <w:rsid w:val="003B7EA3"/>
  </w:style>
  <w:style w:type="paragraph" w:styleId="m2734353280309372950msolistparagraph" w:customStyle="1">
    <w:name w:val="m_2734353280309372950msolistparagraph"/>
    <w:basedOn w:val="Normal"/>
    <w:rsid w:val="003B7EA3"/>
    <w:pPr>
      <w:spacing w:after="100" w:afterAutospacing="1" w:before="100" w:beforeAutospacing="1"/>
    </w:pPr>
  </w:style>
  <w:style w:type="paragraph" w:styleId="BalloonText">
    <w:name w:val="Balloon Text"/>
    <w:basedOn w:val="Normal"/>
    <w:link w:val="BalloonTextChar"/>
    <w:uiPriority w:val="99"/>
    <w:semiHidden w:val="1"/>
    <w:unhideWhenUsed w:val="1"/>
    <w:rsid w:val="00FA4E6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A4E68"/>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937A7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s.health.pa.gov/TREES/PACR/Public/RegistrySearch.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ealth.pa.gov/topics/programs/tobacco/Pages/Registry.aspx" TargetMode="External"/><Relationship Id="rId8" Type="http://schemas.openxmlformats.org/officeDocument/2006/relationships/hyperlink" Target="https://www.dhs.pa.gov/providers/Billing-Info/Pages/Billing-Info-Tobacco-Cessation.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RcPSLrMl4vwO+8gJU1AGd1VXhg==">AMUW2mXUP8IvzWijGpc25A17nRrGxifUKT2pkte+NC0VsrwUmDQclw2NEmwqIZmvAHxlVpVWUULfFIzJICWYVHy1PHJFS1NYtGfeh2BodVukL691pdA2/JQ=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2022-06-08T13:29:00Z</dcterms:created>
  <dc:creator>Pauline Taylor</dc:creator>
</cp:coreProperties>
</file>