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A440" w14:textId="1A7AB095" w:rsidR="007C78AC" w:rsidRPr="004A2439" w:rsidRDefault="00B63E74" w:rsidP="20DBC7DB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DC6D7F" wp14:editId="04540262">
                <wp:simplePos x="0" y="0"/>
                <wp:positionH relativeFrom="column">
                  <wp:posOffset>885190</wp:posOffset>
                </wp:positionH>
                <wp:positionV relativeFrom="paragraph">
                  <wp:posOffset>94615</wp:posOffset>
                </wp:positionV>
                <wp:extent cx="564832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8444" w14:textId="3F32B410" w:rsidR="00B63E74" w:rsidRDefault="00262E4C">
                            <w:r>
                              <w:t xml:space="preserve">ARB We Choosing the Correct Antihypertensive? The Effect of Angiotensin II on Cognitive Impairment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6D7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69.7pt;margin-top:7.45pt;width:444.75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" fillcolor="#d8d8d8 [2732]" stroked="f">
                <v:textbox>
                  <w:txbxContent>
                    <w:p w14:paraId="2A3A8444" w14:textId="3F32B410" w:rsidR="00B63E74" w:rsidRDefault="00262E4C">
                      <w:r>
                        <w:t xml:space="preserve">ARB We Choosing the Correct Antihypertensive? The Effect of Angiotensin II on Cognitive Impairment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B3FA" w14:textId="409D5702" w:rsidR="007C78AC" w:rsidRPr="004A2439" w:rsidRDefault="007C78AC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2439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Activity Title:</w:t>
      </w:r>
      <w:r w:rsidR="00E715B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</w:p>
    <w:p w14:paraId="65C87D3F" w14:textId="72615159" w:rsidR="002A7BDB" w:rsidRDefault="002A7BDB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05DAD3" w14:textId="7E7CCE4C" w:rsidR="00E715BF" w:rsidRPr="004A2439" w:rsidRDefault="00B63E74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9FC36FC" wp14:editId="51A02C72">
                <wp:simplePos x="0" y="0"/>
                <wp:positionH relativeFrom="column">
                  <wp:posOffset>870115</wp:posOffset>
                </wp:positionH>
                <wp:positionV relativeFrom="paragraph">
                  <wp:posOffset>132889</wp:posOffset>
                </wp:positionV>
                <wp:extent cx="3559175" cy="663575"/>
                <wp:effectExtent l="0" t="0" r="317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66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EDBC" w14:textId="16ADD7BE" w:rsidR="00B63E74" w:rsidRDefault="00262E4C" w:rsidP="009743DC">
                            <w:r>
                              <w:t xml:space="preserve">Camryn </w:t>
                            </w:r>
                            <w:proofErr w:type="spellStart"/>
                            <w:r>
                              <w:t>Vecera</w:t>
                            </w:r>
                            <w:proofErr w:type="spellEnd"/>
                            <w:r>
                              <w:t>, PharmD</w:t>
                            </w:r>
                          </w:p>
                          <w:p w14:paraId="263A524A" w14:textId="6142C704" w:rsidR="006F45DB" w:rsidRDefault="006F45DB" w:rsidP="009743DC">
                            <w:r>
                              <w:t xml:space="preserve">PGY-2 Geriatric Pharmacy Resident </w:t>
                            </w:r>
                          </w:p>
                          <w:p w14:paraId="59D9C316" w14:textId="17CB949D" w:rsidR="006F45DB" w:rsidRDefault="006F45DB" w:rsidP="009743DC">
                            <w:r>
                              <w:t>UPMC Presbyterian/Shadyside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36FC" id="_x0000_s1027" type="#_x0000_t202" style="position:absolute;margin-left:68.5pt;margin-top:10.45pt;width:280.25pt;height:5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" fillcolor="#d8d8d8 [2732]" stroked="f">
                <v:textbox>
                  <w:txbxContent>
                    <w:p w14:paraId="3FD0EDBC" w14:textId="16ADD7BE" w:rsidR="00B63E74" w:rsidRDefault="00262E4C" w:rsidP="009743DC">
                      <w:r>
                        <w:t>Camryn Vecera, PharmD</w:t>
                      </w:r>
                    </w:p>
                    <w:p w14:paraId="263A524A" w14:textId="6142C704" w:rsidR="006F45DB" w:rsidRDefault="006F45DB" w:rsidP="009743DC">
                      <w:r>
                        <w:t xml:space="preserve">PGY-2 Geriatric Pharmacy Resident </w:t>
                      </w:r>
                    </w:p>
                    <w:p w14:paraId="59D9C316" w14:textId="17CB949D" w:rsidR="006F45DB" w:rsidRDefault="006F45DB" w:rsidP="009743DC">
                      <w:r>
                        <w:t>UPMC Presbyterian/Shadyside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05E50" w14:textId="5BA25AA8" w:rsidR="007C78AC" w:rsidRPr="004A2439" w:rsidRDefault="007C78AC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2A45282B">
        <w:rPr>
          <w:rFonts w:asciiTheme="minorHAnsi" w:hAnsiTheme="minorHAnsi" w:cstheme="minorBidi"/>
          <w:b/>
          <w:bCs/>
          <w:sz w:val="22"/>
          <w:szCs w:val="22"/>
          <w:u w:val="single"/>
        </w:rPr>
        <w:t>Speaker:</w:t>
      </w:r>
    </w:p>
    <w:p w14:paraId="598E599E" w14:textId="2D00C1E6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646B867F" w14:textId="0C5AFE7C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7BAAFB34" w14:textId="4A237B41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211BF7EE" w14:textId="0DBACD57" w:rsidR="007C78AC" w:rsidRDefault="007C78AC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 w:rsidRPr="2A45282B">
        <w:rPr>
          <w:rStyle w:val="Strong"/>
          <w:rFonts w:asciiTheme="minorHAnsi" w:hAnsiTheme="minorHAnsi" w:cstheme="minorBidi"/>
          <w:sz w:val="22"/>
          <w:szCs w:val="22"/>
          <w:u w:val="single"/>
        </w:rPr>
        <w:t>Objectives:</w:t>
      </w:r>
    </w:p>
    <w:p w14:paraId="718E2C31" w14:textId="6E0A5756" w:rsidR="00447D4D" w:rsidRDefault="00447D4D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sz w:val="22"/>
          <w:szCs w:val="22"/>
        </w:rPr>
      </w:pPr>
    </w:p>
    <w:p w14:paraId="0402D4B2" w14:textId="0FD3FE09" w:rsidR="007C78AC" w:rsidRDefault="007C78AC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3050F97E" wp14:editId="0E5E294A">
                <wp:extent cx="5574030" cy="1427480"/>
                <wp:effectExtent l="0" t="0" r="7620" b="1270"/>
                <wp:docPr id="3486058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427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32FB3" w14:textId="43503C75" w:rsidR="00B63E74" w:rsidRDefault="006F45DB" w:rsidP="006F45D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Describe the relationship between hypertension, the renin-angiotensin system, and cognitive impairment in older adults </w:t>
                            </w:r>
                          </w:p>
                          <w:p w14:paraId="782C2E0A" w14:textId="0790FD71" w:rsidR="006F45DB" w:rsidRDefault="006F45DB" w:rsidP="006F45D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Discuss evidence comparing angiotensin receptor blockers (ARBs) versus angiotensin-converting inhibitors (ACE inhibitors) effect on cognitive impairment </w:t>
                            </w:r>
                          </w:p>
                          <w:p w14:paraId="60579BC9" w14:textId="64CE4195" w:rsidR="006F45DB" w:rsidRDefault="006F45DB" w:rsidP="006F45D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Recognize how the evidence comparing the antihypertensives would apply to clinical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0F97E" id="Text Box 2" o:spid="_x0000_s1028" type="#_x0000_t202" style="width:438.9pt;height:1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" fillcolor="#d8d8d8 [2732]" stroked="f">
                <v:textbox>
                  <w:txbxContent>
                    <w:p w14:paraId="15032FB3" w14:textId="43503C75" w:rsidR="00B63E74" w:rsidRDefault="006F45DB" w:rsidP="006F45DB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Describe the relationship between hypertension, the renin-angiotensin system, and cognitive impairment in older adults </w:t>
                      </w:r>
                    </w:p>
                    <w:p w14:paraId="782C2E0A" w14:textId="0790FD71" w:rsidR="006F45DB" w:rsidRDefault="006F45DB" w:rsidP="006F45DB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Discuss evidence comparing angiotensin receptor blockers (ARBs) versus angiotensin-converting inhibitors (ACE inhibitors) effect on cognitive impairment </w:t>
                      </w:r>
                    </w:p>
                    <w:p w14:paraId="60579BC9" w14:textId="64CE4195" w:rsidR="006F45DB" w:rsidRDefault="006F45DB" w:rsidP="006F45DB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Recognize how the evidence comparing the antihypertensives would apply to clinical practice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A49F1" w14:textId="7E0522AF" w:rsidR="2A45282B" w:rsidRDefault="2A45282B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sz w:val="22"/>
          <w:szCs w:val="22"/>
        </w:rPr>
      </w:pPr>
    </w:p>
    <w:p w14:paraId="5CAF7443" w14:textId="358FBB43" w:rsidR="004D41D8" w:rsidRDefault="004D41D8" w:rsidP="00245847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0FC564" w14:textId="15C7DDA8" w:rsidR="00DD526C" w:rsidRDefault="4FC48619" w:rsidP="43A9114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 w:rsidRPr="43A9114B">
        <w:rPr>
          <w:rStyle w:val="Strong"/>
          <w:rFonts w:asciiTheme="minorHAnsi" w:hAnsiTheme="minorHAnsi" w:cstheme="minorBidi"/>
          <w:sz w:val="22"/>
          <w:szCs w:val="22"/>
          <w:u w:val="single"/>
        </w:rPr>
        <w:t xml:space="preserve">Presentation Abstract: </w:t>
      </w:r>
    </w:p>
    <w:p w14:paraId="65CC0588" w14:textId="2251E84A" w:rsidR="006F45DB" w:rsidRDefault="006F45DB" w:rsidP="006F45D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669CB4" w14:textId="36D26BFB" w:rsidR="000A1CF0" w:rsidRDefault="00EB5F29" w:rsidP="007977F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C8716E">
        <w:rPr>
          <w:rFonts w:asciiTheme="minorHAnsi" w:hAnsiTheme="minorHAnsi" w:cstheme="minorHAnsi"/>
          <w:color w:val="000000"/>
          <w:sz w:val="22"/>
          <w:szCs w:val="22"/>
        </w:rPr>
        <w:t xml:space="preserve">ypertension </w:t>
      </w:r>
      <w:r w:rsidR="00B83D90">
        <w:rPr>
          <w:rFonts w:asciiTheme="minorHAnsi" w:hAnsiTheme="minorHAnsi" w:cstheme="minorHAnsi"/>
          <w:color w:val="000000"/>
          <w:sz w:val="22"/>
          <w:szCs w:val="22"/>
        </w:rPr>
        <w:t xml:space="preserve">has been studied extensively </w:t>
      </w:r>
      <w:r w:rsidR="00DA41B2">
        <w:rPr>
          <w:rFonts w:asciiTheme="minorHAnsi" w:hAnsiTheme="minorHAnsi" w:cstheme="minorHAnsi"/>
          <w:color w:val="000000"/>
          <w:sz w:val="22"/>
          <w:szCs w:val="22"/>
        </w:rPr>
        <w:t>showing a</w:t>
      </w:r>
      <w:r w:rsidR="00C871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5BE8">
        <w:rPr>
          <w:rFonts w:asciiTheme="minorHAnsi" w:hAnsiTheme="minorHAnsi" w:cstheme="minorHAnsi"/>
          <w:color w:val="000000"/>
          <w:sz w:val="22"/>
          <w:szCs w:val="22"/>
        </w:rPr>
        <w:t>correlat</w:t>
      </w:r>
      <w:r w:rsidR="00B83D90">
        <w:rPr>
          <w:rFonts w:asciiTheme="minorHAnsi" w:hAnsiTheme="minorHAnsi" w:cstheme="minorHAnsi"/>
          <w:color w:val="000000"/>
          <w:sz w:val="22"/>
          <w:szCs w:val="22"/>
        </w:rPr>
        <w:t>ion</w:t>
      </w:r>
      <w:r w:rsidR="00575B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084F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575BE8">
        <w:rPr>
          <w:rFonts w:asciiTheme="minorHAnsi" w:hAnsiTheme="minorHAnsi" w:cstheme="minorHAnsi"/>
          <w:color w:val="000000"/>
          <w:sz w:val="22"/>
          <w:szCs w:val="22"/>
        </w:rPr>
        <w:t xml:space="preserve"> the decline of cognitive function</w:t>
      </w:r>
      <w:r w:rsidR="00CE1708">
        <w:rPr>
          <w:rFonts w:asciiTheme="minorHAnsi" w:hAnsiTheme="minorHAnsi" w:cstheme="minorHAnsi"/>
          <w:color w:val="000000"/>
          <w:sz w:val="22"/>
          <w:szCs w:val="22"/>
        </w:rPr>
        <w:t xml:space="preserve"> and is known to be a modifiable risk factor</w:t>
      </w:r>
      <w:r w:rsidR="00575B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A44DA">
        <w:rPr>
          <w:rFonts w:asciiTheme="minorHAnsi" w:hAnsiTheme="minorHAnsi" w:cstheme="minorHAnsi"/>
          <w:color w:val="000000"/>
          <w:sz w:val="22"/>
          <w:szCs w:val="22"/>
        </w:rPr>
        <w:t xml:space="preserve"> However, </w:t>
      </w:r>
      <w:r w:rsidR="00F45136">
        <w:rPr>
          <w:rFonts w:asciiTheme="minorHAnsi" w:hAnsiTheme="minorHAnsi" w:cstheme="minorHAnsi"/>
          <w:color w:val="000000"/>
          <w:sz w:val="22"/>
          <w:szCs w:val="22"/>
        </w:rPr>
        <w:t xml:space="preserve">it is still unknown if the </w:t>
      </w:r>
      <w:r w:rsidR="00734B9C">
        <w:rPr>
          <w:rFonts w:asciiTheme="minorHAnsi" w:hAnsiTheme="minorHAnsi" w:cstheme="minorHAnsi"/>
          <w:color w:val="000000"/>
          <w:sz w:val="22"/>
          <w:szCs w:val="22"/>
        </w:rPr>
        <w:t>benefit</w:t>
      </w:r>
      <w:r w:rsidR="00F45136">
        <w:rPr>
          <w:rFonts w:asciiTheme="minorHAnsi" w:hAnsiTheme="minorHAnsi" w:cstheme="minorHAnsi"/>
          <w:color w:val="000000"/>
          <w:sz w:val="22"/>
          <w:szCs w:val="22"/>
        </w:rPr>
        <w:t xml:space="preserve"> of controlling hypertension </w:t>
      </w:r>
      <w:r w:rsidR="00043250">
        <w:rPr>
          <w:rFonts w:asciiTheme="minorHAnsi" w:hAnsiTheme="minorHAnsi" w:cstheme="minorHAnsi"/>
          <w:color w:val="000000"/>
          <w:sz w:val="22"/>
          <w:szCs w:val="22"/>
        </w:rPr>
        <w:t xml:space="preserve">in regard to </w:t>
      </w:r>
      <w:r w:rsidR="00734B9C">
        <w:rPr>
          <w:rFonts w:asciiTheme="minorHAnsi" w:hAnsiTheme="minorHAnsi" w:cstheme="minorHAnsi"/>
          <w:color w:val="000000"/>
          <w:sz w:val="22"/>
          <w:szCs w:val="22"/>
        </w:rPr>
        <w:t xml:space="preserve">cognitive impairment </w:t>
      </w:r>
      <w:r w:rsidR="00F45136">
        <w:rPr>
          <w:rFonts w:asciiTheme="minorHAnsi" w:hAnsiTheme="minorHAnsi" w:cstheme="minorHAnsi"/>
          <w:color w:val="000000"/>
          <w:sz w:val="22"/>
          <w:szCs w:val="22"/>
        </w:rPr>
        <w:t xml:space="preserve">is due to </w:t>
      </w:r>
      <w:r w:rsidR="00CA2234">
        <w:rPr>
          <w:rFonts w:asciiTheme="minorHAnsi" w:hAnsiTheme="minorHAnsi" w:cstheme="minorHAnsi"/>
          <w:color w:val="000000"/>
          <w:sz w:val="22"/>
          <w:szCs w:val="22"/>
        </w:rPr>
        <w:t xml:space="preserve">the reduction of blood pressure or through </w:t>
      </w:r>
      <w:r w:rsidR="002A5CD4">
        <w:rPr>
          <w:rFonts w:asciiTheme="minorHAnsi" w:hAnsiTheme="minorHAnsi" w:cstheme="minorHAnsi"/>
          <w:color w:val="000000"/>
          <w:sz w:val="22"/>
          <w:szCs w:val="22"/>
        </w:rPr>
        <w:t xml:space="preserve">alternative mechanisms </w:t>
      </w:r>
      <w:r w:rsidR="00734B9C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2A5CD4">
        <w:rPr>
          <w:rFonts w:asciiTheme="minorHAnsi" w:hAnsiTheme="minorHAnsi" w:cstheme="minorHAnsi"/>
          <w:color w:val="000000"/>
          <w:sz w:val="22"/>
          <w:szCs w:val="22"/>
        </w:rPr>
        <w:t>the renin-angiotensin system</w:t>
      </w:r>
      <w:r w:rsidR="006E3683">
        <w:rPr>
          <w:rFonts w:asciiTheme="minorHAnsi" w:hAnsiTheme="minorHAnsi" w:cstheme="minorHAnsi"/>
          <w:color w:val="000000"/>
          <w:sz w:val="22"/>
          <w:szCs w:val="22"/>
        </w:rPr>
        <w:t>, specifically angiotensin II</w:t>
      </w:r>
      <w:r w:rsidR="002A5CD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34B9C">
        <w:rPr>
          <w:rFonts w:asciiTheme="minorHAnsi" w:hAnsiTheme="minorHAnsi" w:cstheme="minorHAnsi"/>
          <w:color w:val="000000"/>
          <w:sz w:val="22"/>
          <w:szCs w:val="22"/>
        </w:rPr>
        <w:t xml:space="preserve"> Antihypertensive medications </w:t>
      </w:r>
      <w:r w:rsidR="00AD2EE6">
        <w:rPr>
          <w:rFonts w:asciiTheme="minorHAnsi" w:hAnsiTheme="minorHAnsi" w:cstheme="minorHAnsi"/>
          <w:color w:val="000000"/>
          <w:sz w:val="22"/>
          <w:szCs w:val="22"/>
        </w:rPr>
        <w:t xml:space="preserve">work on the renin-angiotensin system in various </w:t>
      </w:r>
      <w:r w:rsidR="00EC2740">
        <w:rPr>
          <w:rFonts w:asciiTheme="minorHAnsi" w:hAnsiTheme="minorHAnsi" w:cstheme="minorHAnsi"/>
          <w:color w:val="000000"/>
          <w:sz w:val="22"/>
          <w:szCs w:val="22"/>
        </w:rPr>
        <w:t>ways,</w:t>
      </w:r>
      <w:r w:rsidR="008D49B3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AD2E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40DB">
        <w:rPr>
          <w:rFonts w:asciiTheme="minorHAnsi" w:hAnsiTheme="minorHAnsi" w:cstheme="minorHAnsi"/>
          <w:color w:val="000000"/>
          <w:sz w:val="22"/>
          <w:szCs w:val="22"/>
        </w:rPr>
        <w:t xml:space="preserve">it </w:t>
      </w:r>
      <w:r w:rsidR="00AD2EE6">
        <w:rPr>
          <w:rFonts w:asciiTheme="minorHAnsi" w:hAnsiTheme="minorHAnsi" w:cstheme="minorHAnsi"/>
          <w:color w:val="000000"/>
          <w:sz w:val="22"/>
          <w:szCs w:val="22"/>
        </w:rPr>
        <w:t xml:space="preserve">is hypothesized </w:t>
      </w:r>
      <w:r w:rsidR="00503B7E">
        <w:rPr>
          <w:rFonts w:asciiTheme="minorHAnsi" w:hAnsiTheme="minorHAnsi" w:cstheme="minorHAnsi"/>
          <w:color w:val="000000"/>
          <w:sz w:val="22"/>
          <w:szCs w:val="22"/>
        </w:rPr>
        <w:t xml:space="preserve">that certain medications have more protective properties </w:t>
      </w:r>
      <w:r w:rsidR="00633D1E">
        <w:rPr>
          <w:rFonts w:asciiTheme="minorHAnsi" w:hAnsiTheme="minorHAnsi" w:cstheme="minorHAnsi"/>
          <w:color w:val="000000"/>
          <w:sz w:val="22"/>
          <w:szCs w:val="22"/>
        </w:rPr>
        <w:t>than others</w:t>
      </w:r>
      <w:r w:rsidR="008541E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D7E30">
        <w:rPr>
          <w:rFonts w:asciiTheme="minorHAnsi" w:hAnsiTheme="minorHAnsi" w:cstheme="minorHAnsi"/>
          <w:color w:val="000000"/>
          <w:sz w:val="22"/>
          <w:szCs w:val="22"/>
        </w:rPr>
        <w:t xml:space="preserve">The clinical significance of the selection between antihypertensive medications and their effect on cognitive impairment and dementia remains in question. </w:t>
      </w:r>
      <w:r w:rsidR="00544C15">
        <w:rPr>
          <w:rFonts w:asciiTheme="minorHAnsi" w:hAnsiTheme="minorHAnsi" w:cstheme="minorHAnsi"/>
          <w:color w:val="000000"/>
          <w:sz w:val="22"/>
          <w:szCs w:val="22"/>
        </w:rPr>
        <w:t>This presentation will discuss</w:t>
      </w:r>
      <w:r w:rsidR="00622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2736">
        <w:rPr>
          <w:rFonts w:asciiTheme="minorHAnsi" w:hAnsiTheme="minorHAnsi" w:cstheme="minorHAnsi"/>
          <w:color w:val="000000"/>
          <w:sz w:val="22"/>
          <w:szCs w:val="22"/>
        </w:rPr>
        <w:t xml:space="preserve">recent evidence exploring </w:t>
      </w:r>
      <w:r w:rsidR="003F01CA">
        <w:rPr>
          <w:rFonts w:asciiTheme="minorHAnsi" w:hAnsiTheme="minorHAnsi" w:cstheme="minorHAnsi"/>
          <w:color w:val="000000"/>
          <w:sz w:val="22"/>
          <w:szCs w:val="22"/>
        </w:rPr>
        <w:t>if angiotensin receptor blockers</w:t>
      </w:r>
      <w:r w:rsidR="00C140DB">
        <w:rPr>
          <w:rFonts w:asciiTheme="minorHAnsi" w:hAnsiTheme="minorHAnsi" w:cstheme="minorHAnsi"/>
          <w:color w:val="000000"/>
          <w:sz w:val="22"/>
          <w:szCs w:val="22"/>
        </w:rPr>
        <w:t xml:space="preserve"> (ARBs)</w:t>
      </w:r>
      <w:r w:rsidR="003F01CA">
        <w:rPr>
          <w:rFonts w:asciiTheme="minorHAnsi" w:hAnsiTheme="minorHAnsi" w:cstheme="minorHAnsi"/>
          <w:color w:val="000000"/>
          <w:sz w:val="22"/>
          <w:szCs w:val="22"/>
        </w:rPr>
        <w:t xml:space="preserve"> compared to angiotensin-converting inhibitors </w:t>
      </w:r>
      <w:r w:rsidR="00C140DB">
        <w:rPr>
          <w:rFonts w:asciiTheme="minorHAnsi" w:hAnsiTheme="minorHAnsi" w:cstheme="minorHAnsi"/>
          <w:color w:val="000000"/>
          <w:sz w:val="22"/>
          <w:szCs w:val="22"/>
        </w:rPr>
        <w:t xml:space="preserve">(ACE-inhibitors) </w:t>
      </w:r>
      <w:r w:rsidR="003F01CA">
        <w:rPr>
          <w:rFonts w:asciiTheme="minorHAnsi" w:hAnsiTheme="minorHAnsi" w:cstheme="minorHAnsi"/>
          <w:color w:val="000000"/>
          <w:sz w:val="22"/>
          <w:szCs w:val="22"/>
        </w:rPr>
        <w:t>provide a</w:t>
      </w:r>
      <w:r w:rsidR="00A160AD">
        <w:rPr>
          <w:rFonts w:asciiTheme="minorHAnsi" w:hAnsiTheme="minorHAnsi" w:cstheme="minorHAnsi"/>
          <w:color w:val="000000"/>
          <w:sz w:val="22"/>
          <w:szCs w:val="22"/>
        </w:rPr>
        <w:t xml:space="preserve"> better protection </w:t>
      </w:r>
      <w:r w:rsidR="00CA025D">
        <w:rPr>
          <w:rFonts w:asciiTheme="minorHAnsi" w:hAnsiTheme="minorHAnsi" w:cstheme="minorHAnsi"/>
          <w:color w:val="000000"/>
          <w:sz w:val="22"/>
          <w:szCs w:val="22"/>
        </w:rPr>
        <w:t>in people who do or not have pre-existing</w:t>
      </w:r>
      <w:r w:rsidR="003F01CA">
        <w:rPr>
          <w:rFonts w:asciiTheme="minorHAnsi" w:hAnsiTheme="minorHAnsi" w:cstheme="minorHAnsi"/>
          <w:color w:val="000000"/>
          <w:sz w:val="22"/>
          <w:szCs w:val="22"/>
        </w:rPr>
        <w:t xml:space="preserve"> cognitive</w:t>
      </w:r>
      <w:r w:rsidR="00CA025D">
        <w:rPr>
          <w:rFonts w:asciiTheme="minorHAnsi" w:hAnsiTheme="minorHAnsi" w:cstheme="minorHAnsi"/>
          <w:color w:val="000000"/>
          <w:sz w:val="22"/>
          <w:szCs w:val="22"/>
        </w:rPr>
        <w:t xml:space="preserve"> impairment</w:t>
      </w:r>
      <w:r w:rsidR="001C217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536267" w14:textId="77777777" w:rsidR="00B63E74" w:rsidRPr="003C188A" w:rsidRDefault="00B63E74" w:rsidP="00245847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8C5194" w14:textId="77777777" w:rsidR="00DE1DF9" w:rsidRPr="00DE1DF9" w:rsidRDefault="00DE1DF9" w:rsidP="00DE1DF9">
      <w:pPr>
        <w:ind w:right="-72"/>
        <w:rPr>
          <w:rFonts w:ascii="Arial" w:hAnsi="Arial" w:cs="Arial"/>
          <w:b/>
          <w:sz w:val="20"/>
          <w:szCs w:val="20"/>
          <w:u w:val="single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Format:</w:t>
      </w:r>
    </w:p>
    <w:p w14:paraId="05226EC4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6049B3">
        <w:rPr>
          <w:rFonts w:ascii="Arial" w:hAnsi="Arial" w:cs="Arial"/>
          <w:sz w:val="20"/>
          <w:szCs w:val="20"/>
        </w:rPr>
      </w:r>
      <w:r w:rsidR="006049B3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bookmarkEnd w:id="0"/>
      <w:r w:rsidRPr="003C188A">
        <w:rPr>
          <w:rFonts w:ascii="Arial" w:hAnsi="Arial" w:cs="Arial"/>
          <w:sz w:val="20"/>
          <w:szCs w:val="20"/>
        </w:rPr>
        <w:t xml:space="preserve">  Live</w:t>
      </w:r>
    </w:p>
    <w:bookmarkStart w:id="1" w:name="_Hlk508884800"/>
    <w:p w14:paraId="14FFFA12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6049B3">
        <w:rPr>
          <w:rFonts w:ascii="Arial" w:hAnsi="Arial" w:cs="Arial"/>
          <w:sz w:val="20"/>
          <w:szCs w:val="20"/>
        </w:rPr>
      </w:r>
      <w:r w:rsidR="006049B3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Home study</w:t>
      </w:r>
    </w:p>
    <w:bookmarkEnd w:id="1"/>
    <w:p w14:paraId="3B29461A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6049B3">
        <w:rPr>
          <w:rFonts w:ascii="Arial" w:hAnsi="Arial" w:cs="Arial"/>
          <w:sz w:val="20"/>
          <w:szCs w:val="20"/>
        </w:rPr>
      </w:r>
      <w:r w:rsidR="006049B3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Live and Home study</w:t>
      </w:r>
    </w:p>
    <w:p w14:paraId="39732AD0" w14:textId="214D15AA" w:rsidR="00DE1DF9" w:rsidRDefault="00DE1DF9" w:rsidP="00DE1DF9">
      <w:pPr>
        <w:ind w:right="-72"/>
        <w:rPr>
          <w:rFonts w:ascii="Arial" w:hAnsi="Arial" w:cs="Arial"/>
          <w:b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6049B3">
        <w:rPr>
          <w:rFonts w:ascii="Arial" w:hAnsi="Arial" w:cs="Arial"/>
          <w:sz w:val="20"/>
          <w:szCs w:val="20"/>
        </w:rPr>
      </w:r>
      <w:r w:rsidR="006049B3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Webinar (Live)</w:t>
      </w:r>
    </w:p>
    <w:p w14:paraId="123E3F76" w14:textId="2D4378F7" w:rsidR="00DE1DF9" w:rsidRDefault="00DE1DF9" w:rsidP="00DE1DF9">
      <w:pPr>
        <w:rPr>
          <w:rFonts w:ascii="Arial" w:hAnsi="Arial" w:cs="Arial"/>
          <w:b/>
          <w:sz w:val="20"/>
          <w:szCs w:val="20"/>
        </w:rPr>
      </w:pPr>
    </w:p>
    <w:p w14:paraId="791559CC" w14:textId="10847712" w:rsidR="00DE1DF9" w:rsidRDefault="005A69F3" w:rsidP="00DE1DF9">
      <w:pPr>
        <w:rPr>
          <w:rFonts w:ascii="Arial" w:hAnsi="Arial" w:cs="Arial"/>
          <w:b/>
          <w:sz w:val="20"/>
          <w:szCs w:val="20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851004" wp14:editId="40F2ABF6">
                <wp:simplePos x="0" y="0"/>
                <wp:positionH relativeFrom="column">
                  <wp:posOffset>1496695</wp:posOffset>
                </wp:positionH>
                <wp:positionV relativeFrom="paragraph">
                  <wp:posOffset>91440</wp:posOffset>
                </wp:positionV>
                <wp:extent cx="3559175" cy="262255"/>
                <wp:effectExtent l="0" t="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85EF" w14:textId="1C2AD5D2" w:rsidR="005A69F3" w:rsidRDefault="006F45DB" w:rsidP="005A69F3">
                            <w:r>
                              <w:t>November 16,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1004" id="_x0000_s1029" type="#_x0000_t202" style="position:absolute;margin-left:117.85pt;margin-top:7.2pt;width:280.25pt;height:20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" fillcolor="#d8d8d8 [2732]" stroked="f">
                <v:textbox>
                  <w:txbxContent>
                    <w:p w14:paraId="5BCB85EF" w14:textId="1C2AD5D2" w:rsidR="005A69F3" w:rsidRDefault="006F45DB" w:rsidP="005A69F3">
                      <w:r>
                        <w:t>November 16,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2CF56" w14:textId="7C59D1A5" w:rsidR="00DE1DF9" w:rsidRDefault="00DE1DF9" w:rsidP="00DE1DF9">
      <w:pPr>
        <w:rPr>
          <w:rFonts w:ascii="Arial" w:hAnsi="Arial" w:cs="Arial"/>
          <w:b/>
          <w:sz w:val="20"/>
          <w:szCs w:val="20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Date of Live Activity</w:t>
      </w:r>
      <w:r>
        <w:rPr>
          <w:rFonts w:ascii="Arial" w:hAnsi="Arial" w:cs="Arial"/>
          <w:b/>
          <w:sz w:val="20"/>
          <w:szCs w:val="20"/>
        </w:rPr>
        <w:t>:</w:t>
      </w:r>
    </w:p>
    <w:p w14:paraId="0A5B8DB6" w14:textId="21F17637" w:rsidR="00B63E74" w:rsidRDefault="00B63E74" w:rsidP="00DE1DF9">
      <w:pPr>
        <w:rPr>
          <w:rFonts w:ascii="Arial" w:hAnsi="Arial" w:cs="Arial"/>
          <w:b/>
          <w:sz w:val="20"/>
          <w:szCs w:val="20"/>
        </w:rPr>
      </w:pPr>
    </w:p>
    <w:p w14:paraId="2978E332" w14:textId="77777777" w:rsidR="00DE1DF9" w:rsidRPr="007C78AC" w:rsidRDefault="00DE1DF9" w:rsidP="00DE1DF9">
      <w:pPr>
        <w:rPr>
          <w:rFonts w:ascii="Arial" w:hAnsi="Arial" w:cs="Arial"/>
          <w:b/>
          <w:sz w:val="20"/>
          <w:szCs w:val="20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Activity length (hr. or CEU):</w:t>
      </w:r>
      <w:r w:rsidRPr="007C78AC">
        <w:rPr>
          <w:rFonts w:ascii="Arial" w:hAnsi="Arial" w:cs="Arial"/>
          <w:b/>
          <w:sz w:val="20"/>
          <w:szCs w:val="20"/>
        </w:rPr>
        <w:t xml:space="preserve">      1 hour</w:t>
      </w:r>
    </w:p>
    <w:p w14:paraId="1DB0BD8C" w14:textId="77777777" w:rsidR="00DE1DF9" w:rsidRDefault="00DE1DF9" w:rsidP="00DE1DF9">
      <w:pPr>
        <w:rPr>
          <w:rFonts w:ascii="Arial" w:hAnsi="Arial" w:cs="Arial"/>
          <w:b/>
          <w:sz w:val="20"/>
          <w:szCs w:val="20"/>
        </w:rPr>
      </w:pPr>
    </w:p>
    <w:p w14:paraId="2064692C" w14:textId="77777777" w:rsidR="00DE1DF9" w:rsidRDefault="00DE1DF9" w:rsidP="00DE1DF9">
      <w:pPr>
        <w:pStyle w:val="BodyText"/>
        <w:ind w:left="86"/>
        <w:rPr>
          <w:rFonts w:cs="Arial"/>
          <w:bCs/>
          <w:i/>
          <w:sz w:val="20"/>
          <w:lang w:bidi="en-US"/>
        </w:rPr>
      </w:pPr>
    </w:p>
    <w:p w14:paraId="47237122" w14:textId="77777777" w:rsidR="00DE1DF9" w:rsidRPr="006E30B9" w:rsidRDefault="00DE1DF9" w:rsidP="00DE1DF9">
      <w:pPr>
        <w:pStyle w:val="BodyText"/>
        <w:rPr>
          <w:rFonts w:cs="Arial"/>
          <w:sz w:val="20"/>
        </w:rPr>
      </w:pPr>
      <w:r w:rsidRPr="006E30B9">
        <w:rPr>
          <w:rFonts w:cs="Arial"/>
          <w:sz w:val="20"/>
        </w:rPr>
        <w:t>Topic Designators – activities are related to:</w:t>
      </w:r>
    </w:p>
    <w:p w14:paraId="7132B089" w14:textId="3EAA55A8" w:rsidR="00DE1DF9" w:rsidRPr="00FD63A6" w:rsidRDefault="00DE1DF9" w:rsidP="00DE1DF9">
      <w:pPr>
        <w:pStyle w:val="BodyText"/>
        <w:rPr>
          <w:rFonts w:cs="Arial"/>
          <w:b w:val="0"/>
          <w:sz w:val="20"/>
        </w:rPr>
      </w:pPr>
      <w:r w:rsidRPr="00FD63A6">
        <w:rPr>
          <w:rFonts w:cs="Arial"/>
          <w:b w:val="0"/>
          <w:sz w:val="20"/>
        </w:rPr>
        <w:t xml:space="preserve">If a CPE activity’s target audience is exclusively for </w:t>
      </w:r>
      <w:r w:rsidRPr="00FD63A6">
        <w:rPr>
          <w:rFonts w:cs="Arial"/>
          <w:sz w:val="20"/>
        </w:rPr>
        <w:t>pharmacists,</w:t>
      </w:r>
      <w:r w:rsidRPr="00FD63A6">
        <w:rPr>
          <w:rFonts w:cs="Arial"/>
          <w:b w:val="0"/>
          <w:sz w:val="20"/>
        </w:rPr>
        <w:t xml:space="preserve"> the designation “P” will be</w:t>
      </w:r>
      <w:r>
        <w:rPr>
          <w:rFonts w:cs="Arial"/>
          <w:b w:val="0"/>
          <w:sz w:val="20"/>
        </w:rPr>
        <w:t xml:space="preserve"> </w:t>
      </w:r>
      <w:r w:rsidRPr="00FD63A6">
        <w:rPr>
          <w:rFonts w:cs="Arial"/>
          <w:b w:val="0"/>
          <w:sz w:val="20"/>
        </w:rPr>
        <w:t>used as follows:</w:t>
      </w:r>
      <w:r w:rsidRPr="007A53D6">
        <w:rPr>
          <w:rFonts w:cs="Arial"/>
          <w:b w:val="0"/>
          <w:sz w:val="20"/>
        </w:rPr>
        <w:t xml:space="preserve"> </w:t>
      </w:r>
    </w:p>
    <w:p w14:paraId="40AB6FBB" w14:textId="77777777" w:rsidR="00DE1DF9" w:rsidRDefault="00DE1DF9" w:rsidP="00DE1DF9">
      <w:pPr>
        <w:pStyle w:val="BodyText"/>
        <w:rPr>
          <w:rFonts w:cs="Arial"/>
          <w:b w:val="0"/>
          <w:sz w:val="20"/>
        </w:rPr>
      </w:pPr>
    </w:p>
    <w:p w14:paraId="0BEA2B6F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6049B3">
        <w:rPr>
          <w:rFonts w:cs="Arial"/>
          <w:sz w:val="20"/>
          <w:szCs w:val="20"/>
        </w:rPr>
      </w:r>
      <w:r w:rsidR="006049B3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2C4069">
        <w:rPr>
          <w:rFonts w:cs="Arial"/>
          <w:b w:val="0"/>
          <w:sz w:val="20"/>
        </w:rPr>
        <w:t>01-P Disease State Management/Drug therapy</w:t>
      </w:r>
    </w:p>
    <w:p w14:paraId="3190F447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6049B3">
        <w:rPr>
          <w:rFonts w:cs="Arial"/>
          <w:sz w:val="20"/>
          <w:szCs w:val="20"/>
        </w:rPr>
      </w:r>
      <w:r w:rsidR="006049B3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02-P AIDS therapy</w:t>
      </w:r>
    </w:p>
    <w:p w14:paraId="20F80F0D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6049B3">
        <w:rPr>
          <w:rFonts w:cs="Arial"/>
          <w:sz w:val="20"/>
          <w:szCs w:val="20"/>
        </w:rPr>
      </w:r>
      <w:r w:rsidR="006049B3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05F9">
        <w:rPr>
          <w:rFonts w:cs="Arial"/>
          <w:b w:val="0"/>
          <w:sz w:val="20"/>
        </w:rPr>
        <w:t>03-P Law (related to pharmacy practice)</w:t>
      </w:r>
    </w:p>
    <w:p w14:paraId="67663598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6049B3">
        <w:rPr>
          <w:rFonts w:cs="Arial"/>
          <w:sz w:val="20"/>
          <w:szCs w:val="20"/>
        </w:rPr>
      </w:r>
      <w:r w:rsidR="006049B3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05F9">
        <w:rPr>
          <w:rFonts w:cs="Arial"/>
          <w:b w:val="0"/>
          <w:sz w:val="20"/>
        </w:rPr>
        <w:t>04-P General Pharmacy</w:t>
      </w:r>
    </w:p>
    <w:p w14:paraId="5722FA2F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6049B3">
        <w:rPr>
          <w:rFonts w:cs="Arial"/>
          <w:sz w:val="20"/>
          <w:szCs w:val="20"/>
        </w:rPr>
      </w:r>
      <w:r w:rsidR="006049B3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05-P Patient Safety</w:t>
      </w:r>
    </w:p>
    <w:p w14:paraId="73E4C17A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6049B3">
        <w:rPr>
          <w:rFonts w:cs="Arial"/>
          <w:sz w:val="20"/>
          <w:szCs w:val="20"/>
        </w:rPr>
      </w:r>
      <w:r w:rsidR="006049B3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0D6C64">
        <w:rPr>
          <w:rFonts w:cs="Arial"/>
          <w:b w:val="0"/>
          <w:sz w:val="20"/>
        </w:rPr>
        <w:t>06-P Immunizations</w:t>
      </w:r>
    </w:p>
    <w:p w14:paraId="29DF4E72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6049B3">
        <w:rPr>
          <w:rFonts w:cs="Arial"/>
          <w:sz w:val="20"/>
          <w:szCs w:val="20"/>
        </w:rPr>
      </w:r>
      <w:r w:rsidR="006049B3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07-P Compounding</w:t>
      </w:r>
    </w:p>
    <w:p w14:paraId="599C2402" w14:textId="3228B776" w:rsidR="001A3AE1" w:rsidRPr="00C140DB" w:rsidRDefault="00DE1DF9" w:rsidP="00C140DB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6049B3">
        <w:rPr>
          <w:rFonts w:cs="Arial"/>
          <w:sz w:val="20"/>
          <w:szCs w:val="20"/>
        </w:rPr>
      </w:r>
      <w:r w:rsidR="006049B3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>
        <w:rPr>
          <w:rFonts w:cs="Arial"/>
          <w:b w:val="0"/>
          <w:sz w:val="20"/>
        </w:rPr>
        <w:t xml:space="preserve">08-P </w:t>
      </w:r>
      <w:r w:rsidR="000104B2" w:rsidRPr="000104B2">
        <w:rPr>
          <w:rFonts w:cs="Arial"/>
          <w:b w:val="0"/>
          <w:sz w:val="20"/>
        </w:rPr>
        <w:t>Pain Management/Opioid</w:t>
      </w:r>
    </w:p>
    <w:p w14:paraId="1B31433A" w14:textId="77777777" w:rsidR="00190192" w:rsidRDefault="00190192" w:rsidP="43A9114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</w:p>
    <w:p w14:paraId="1A84A34D" w14:textId="196EEA4D" w:rsidR="00316D81" w:rsidRDefault="00316D81" w:rsidP="43A9114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>
        <w:rPr>
          <w:rStyle w:val="Strong"/>
          <w:rFonts w:asciiTheme="minorHAnsi" w:hAnsiTheme="minorHAnsi" w:cstheme="minorBidi"/>
          <w:sz w:val="22"/>
          <w:szCs w:val="22"/>
          <w:u w:val="single"/>
        </w:rPr>
        <w:lastRenderedPageBreak/>
        <w:t>Questions</w:t>
      </w:r>
    </w:p>
    <w:p w14:paraId="6E1B55C3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1. All the following are ways the renin-angiotensin system may be protective towards cognitive impairment, except: </w:t>
      </w:r>
    </w:p>
    <w:p w14:paraId="29B60E94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- Vasodilation </w:t>
      </w:r>
    </w:p>
    <w:p w14:paraId="485A1D9B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- Protect against ischemia </w:t>
      </w:r>
    </w:p>
    <w:p w14:paraId="442E94FB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- Increase acetylcholine </w:t>
      </w:r>
    </w:p>
    <w:p w14:paraId="51D1E7A0" w14:textId="306E540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- Preserve memory </w:t>
      </w:r>
    </w:p>
    <w:p w14:paraId="7CAFD73D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2. True or False: Based on the article "Candesartan vs Lisinopril for Neurocognitive Function in Older Adults </w:t>
      </w:r>
      <w:proofErr w:type="gramStart"/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>With</w:t>
      </w:r>
      <w:proofErr w:type="gramEnd"/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 Mild Cognitive Impairment", the authors have shown candesartan has superior protection for older adults with cognitive impairment compared to lisinopril. </w:t>
      </w:r>
    </w:p>
    <w:p w14:paraId="5A34DC88" w14:textId="139A5BD9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>-True</w:t>
      </w:r>
    </w:p>
    <w:p w14:paraId="38FD2FDD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3. After reviewing the literature, what would be a practical change in the medication regimen in the provided case? </w:t>
      </w:r>
    </w:p>
    <w:p w14:paraId="64220A26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-Continue with the antihypertensive medication the patient is on </w:t>
      </w:r>
    </w:p>
    <w:p w14:paraId="08EC3DFB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-Switch antihypertensive medication to an angiotensin receptor blocker </w:t>
      </w:r>
    </w:p>
    <w:p w14:paraId="6A12886B" w14:textId="77777777" w:rsidR="00316D81" w:rsidRPr="00316D81" w:rsidRDefault="00316D81" w:rsidP="00316D81">
      <w:pPr>
        <w:pStyle w:val="NormalWeb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 xml:space="preserve">-Switch antihypertensive medication to a dihydropyridine calcium channel blocker </w:t>
      </w:r>
    </w:p>
    <w:p w14:paraId="4F1F49F0" w14:textId="64086096" w:rsidR="00316D81" w:rsidRPr="00316D81" w:rsidRDefault="00316D81" w:rsidP="00316D8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sz w:val="22"/>
          <w:szCs w:val="22"/>
        </w:rPr>
      </w:pPr>
      <w:r w:rsidRPr="00316D81">
        <w:rPr>
          <w:rStyle w:val="Strong"/>
          <w:rFonts w:asciiTheme="minorHAnsi" w:hAnsiTheme="minorHAnsi" w:cstheme="minorBidi"/>
          <w:b w:val="0"/>
          <w:sz w:val="22"/>
          <w:szCs w:val="22"/>
        </w:rPr>
        <w:t>-The evidence does not support any change to medication regimen</w:t>
      </w:r>
    </w:p>
    <w:p w14:paraId="674173C6" w14:textId="77777777" w:rsidR="00316D81" w:rsidRDefault="00316D81" w:rsidP="43A9114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</w:p>
    <w:p w14:paraId="7FF1B631" w14:textId="77777777" w:rsidR="00316D81" w:rsidRDefault="00316D81" w:rsidP="43A9114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</w:p>
    <w:p w14:paraId="2A4A833B" w14:textId="77777777" w:rsidR="00316D81" w:rsidRDefault="00316D81" w:rsidP="43A9114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</w:p>
    <w:p w14:paraId="43FF2208" w14:textId="76E780F1" w:rsidR="56E03558" w:rsidRDefault="56E03558" w:rsidP="43A9114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 w:rsidRPr="43A9114B">
        <w:rPr>
          <w:rStyle w:val="Strong"/>
          <w:rFonts w:asciiTheme="minorHAnsi" w:hAnsiTheme="minorHAnsi" w:cstheme="minorBidi"/>
          <w:sz w:val="22"/>
          <w:szCs w:val="22"/>
          <w:u w:val="single"/>
        </w:rPr>
        <w:t>References:</w:t>
      </w:r>
    </w:p>
    <w:p w14:paraId="5DCB3208" w14:textId="7BD07606" w:rsidR="43A9114B" w:rsidRPr="0040333D" w:rsidRDefault="000E74AF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2A1B39">
        <w:rPr>
          <w:rFonts w:ascii="Arial" w:hAnsi="Arial" w:cs="Arial"/>
          <w:sz w:val="20"/>
          <w:szCs w:val="20"/>
        </w:rPr>
        <w:t xml:space="preserve">Deng </w:t>
      </w:r>
      <w:r w:rsidR="00A107EF" w:rsidRPr="002A1B39">
        <w:rPr>
          <w:rFonts w:ascii="Arial" w:hAnsi="Arial" w:cs="Arial"/>
          <w:sz w:val="20"/>
          <w:szCs w:val="20"/>
        </w:rPr>
        <w:t xml:space="preserve">Z., Jiang J., Wang J., et al. Angiotensin Receptor Blockers Are Associated </w:t>
      </w:r>
      <w:proofErr w:type="gramStart"/>
      <w:r w:rsidR="00A107EF" w:rsidRPr="002A1B39">
        <w:rPr>
          <w:rFonts w:ascii="Arial" w:hAnsi="Arial" w:cs="Arial"/>
          <w:sz w:val="20"/>
          <w:szCs w:val="20"/>
        </w:rPr>
        <w:t>With</w:t>
      </w:r>
      <w:proofErr w:type="gramEnd"/>
      <w:r w:rsidR="00A107EF" w:rsidRPr="002A1B39">
        <w:rPr>
          <w:rFonts w:ascii="Arial" w:hAnsi="Arial" w:cs="Arial"/>
          <w:sz w:val="20"/>
          <w:szCs w:val="20"/>
        </w:rPr>
        <w:t xml:space="preserve"> a Lower Risk of Progression From Mild Cognitive Impairment to Dementia. </w:t>
      </w:r>
      <w:r w:rsidR="002A1B39">
        <w:rPr>
          <w:rFonts w:ascii="Arial" w:hAnsi="Arial" w:cs="Arial"/>
          <w:i/>
          <w:iCs/>
          <w:sz w:val="20"/>
          <w:szCs w:val="20"/>
        </w:rPr>
        <w:t xml:space="preserve">Hypertension. </w:t>
      </w:r>
      <w:proofErr w:type="gramStart"/>
      <w:r w:rsidR="002A1B39">
        <w:rPr>
          <w:rFonts w:ascii="Arial" w:hAnsi="Arial" w:cs="Arial"/>
          <w:sz w:val="20"/>
          <w:szCs w:val="20"/>
        </w:rPr>
        <w:t>2022;79:2159</w:t>
      </w:r>
      <w:proofErr w:type="gramEnd"/>
      <w:r w:rsidR="002A1B39">
        <w:rPr>
          <w:rFonts w:ascii="Arial" w:hAnsi="Arial" w:cs="Arial"/>
          <w:sz w:val="20"/>
          <w:szCs w:val="20"/>
        </w:rPr>
        <w:t>-2169. DOI: 10.1161/</w:t>
      </w:r>
      <w:r w:rsidR="0040333D">
        <w:rPr>
          <w:rFonts w:ascii="Arial" w:hAnsi="Arial" w:cs="Arial"/>
          <w:sz w:val="20"/>
          <w:szCs w:val="20"/>
        </w:rPr>
        <w:t>hypertensinaha.122.19378</w:t>
      </w:r>
      <w:r w:rsidR="007D5F2B">
        <w:rPr>
          <w:rFonts w:ascii="Arial" w:hAnsi="Arial" w:cs="Arial"/>
          <w:sz w:val="20"/>
          <w:szCs w:val="20"/>
        </w:rPr>
        <w:t>.</w:t>
      </w:r>
    </w:p>
    <w:p w14:paraId="0AAE0F23" w14:textId="0A92A94B" w:rsidR="0040333D" w:rsidRPr="00355541" w:rsidRDefault="00E259A0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 van Dalen J., Marcum Z., Gray S., et al. Association of Angiotensin II-Stimulating Antihypertensive Use and Dementia Risk: Post Hoc Analysis of the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0247F2">
        <w:rPr>
          <w:rFonts w:ascii="Arial" w:hAnsi="Arial" w:cs="Arial"/>
          <w:sz w:val="20"/>
          <w:szCs w:val="20"/>
        </w:rPr>
        <w:t>reDIVA</w:t>
      </w:r>
      <w:proofErr w:type="spellEnd"/>
      <w:r w:rsidR="000247F2">
        <w:rPr>
          <w:rFonts w:ascii="Arial" w:hAnsi="Arial" w:cs="Arial"/>
          <w:sz w:val="20"/>
          <w:szCs w:val="20"/>
        </w:rPr>
        <w:t xml:space="preserve"> Trial. </w:t>
      </w:r>
      <w:r w:rsidR="000247F2">
        <w:rPr>
          <w:rFonts w:ascii="Arial" w:hAnsi="Arial" w:cs="Arial"/>
          <w:i/>
          <w:iCs/>
          <w:sz w:val="20"/>
          <w:szCs w:val="20"/>
        </w:rPr>
        <w:t xml:space="preserve">Neurology. </w:t>
      </w:r>
      <w:r w:rsidR="00355541">
        <w:rPr>
          <w:rFonts w:ascii="Arial" w:hAnsi="Arial" w:cs="Arial"/>
          <w:sz w:val="20"/>
          <w:szCs w:val="20"/>
        </w:rPr>
        <w:t xml:space="preserve">2021; </w:t>
      </w:r>
      <w:proofErr w:type="gramStart"/>
      <w:r w:rsidR="00355541">
        <w:rPr>
          <w:rFonts w:ascii="Arial" w:hAnsi="Arial" w:cs="Arial"/>
          <w:sz w:val="20"/>
          <w:szCs w:val="20"/>
        </w:rPr>
        <w:t>96:e</w:t>
      </w:r>
      <w:proofErr w:type="gramEnd"/>
      <w:r w:rsidR="00355541">
        <w:rPr>
          <w:rFonts w:ascii="Arial" w:hAnsi="Arial" w:cs="Arial"/>
          <w:sz w:val="20"/>
          <w:szCs w:val="20"/>
        </w:rPr>
        <w:t xml:space="preserve">67-e80. Doi: 10.1212/WNL.0000000000010996. </w:t>
      </w:r>
    </w:p>
    <w:p w14:paraId="37754BE8" w14:textId="286FA5D5" w:rsidR="00355541" w:rsidRPr="007D5F2B" w:rsidRDefault="00E547DD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Marcum Z., Cohen J., Zhang C., et al. Association of Antihypertensives That Stimulate vs Inhibit Types 2 and 4 Angiotensin II Receptors </w:t>
      </w:r>
      <w:proofErr w:type="gramStart"/>
      <w:r w:rsidR="00FF0C0C">
        <w:rPr>
          <w:rFonts w:ascii="Arial" w:hAnsi="Arial" w:cs="Arial"/>
          <w:sz w:val="20"/>
          <w:szCs w:val="20"/>
        </w:rPr>
        <w:t>With</w:t>
      </w:r>
      <w:proofErr w:type="gramEnd"/>
      <w:r w:rsidR="00FF0C0C">
        <w:rPr>
          <w:rFonts w:ascii="Arial" w:hAnsi="Arial" w:cs="Arial"/>
          <w:sz w:val="20"/>
          <w:szCs w:val="20"/>
        </w:rPr>
        <w:t xml:space="preserve"> Cognitive Impairment. </w:t>
      </w:r>
      <w:r w:rsidR="00FF0C0C">
        <w:rPr>
          <w:rFonts w:ascii="Arial" w:hAnsi="Arial" w:cs="Arial"/>
          <w:i/>
          <w:iCs/>
          <w:sz w:val="20"/>
          <w:szCs w:val="20"/>
        </w:rPr>
        <w:t xml:space="preserve">JAMA Network Open. </w:t>
      </w:r>
      <w:r w:rsidR="00FF0C0C">
        <w:rPr>
          <w:rFonts w:ascii="Arial" w:hAnsi="Arial" w:cs="Arial"/>
          <w:sz w:val="20"/>
          <w:szCs w:val="20"/>
        </w:rPr>
        <w:t>2022;5(1</w:t>
      </w:r>
      <w:proofErr w:type="gramStart"/>
      <w:r w:rsidR="00FF0C0C">
        <w:rPr>
          <w:rFonts w:ascii="Arial" w:hAnsi="Arial" w:cs="Arial"/>
          <w:sz w:val="20"/>
          <w:szCs w:val="20"/>
        </w:rPr>
        <w:t>):e</w:t>
      </w:r>
      <w:proofErr w:type="gramEnd"/>
      <w:r w:rsidR="00FF0C0C">
        <w:rPr>
          <w:rFonts w:ascii="Arial" w:hAnsi="Arial" w:cs="Arial"/>
          <w:sz w:val="20"/>
          <w:szCs w:val="20"/>
        </w:rPr>
        <w:t>214</w:t>
      </w:r>
      <w:r w:rsidR="007D5F2B">
        <w:rPr>
          <w:rFonts w:ascii="Arial" w:hAnsi="Arial" w:cs="Arial"/>
          <w:sz w:val="20"/>
          <w:szCs w:val="20"/>
        </w:rPr>
        <w:t>5319. Doi:10.1001/jamanetworkopen.2021.45319.</w:t>
      </w:r>
    </w:p>
    <w:p w14:paraId="5E399A91" w14:textId="03CCA464" w:rsidR="007D5F2B" w:rsidRPr="007D5F2B" w:rsidRDefault="007D5F2B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Hajjar I., Okafor M., McDaniel D., et al. Effects of Candesartan vs Lisinopril on Neurocognitive Function in Older Adults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Executive Middle Cognitive Impairment: A Randomized Clinical Trial. </w:t>
      </w:r>
      <w:r>
        <w:rPr>
          <w:rFonts w:ascii="Arial" w:hAnsi="Arial" w:cs="Arial"/>
          <w:i/>
          <w:iCs/>
          <w:sz w:val="20"/>
          <w:szCs w:val="20"/>
        </w:rPr>
        <w:t xml:space="preserve">JAMA Network Open. </w:t>
      </w:r>
      <w:r>
        <w:rPr>
          <w:rFonts w:ascii="Arial" w:hAnsi="Arial" w:cs="Arial"/>
          <w:sz w:val="20"/>
          <w:szCs w:val="20"/>
        </w:rPr>
        <w:t>2020;3(8</w:t>
      </w:r>
      <w:proofErr w:type="gramStart"/>
      <w:r>
        <w:rPr>
          <w:rFonts w:ascii="Arial" w:hAnsi="Arial" w:cs="Arial"/>
          <w:sz w:val="20"/>
          <w:szCs w:val="20"/>
        </w:rPr>
        <w:t>):e</w:t>
      </w:r>
      <w:proofErr w:type="gramEnd"/>
      <w:r>
        <w:rPr>
          <w:rFonts w:ascii="Arial" w:hAnsi="Arial" w:cs="Arial"/>
          <w:sz w:val="20"/>
          <w:szCs w:val="20"/>
        </w:rPr>
        <w:t>2012252. Doi:10.1001/jamanetworkopen.2020.12252.</w:t>
      </w:r>
    </w:p>
    <w:p w14:paraId="5CCB45C0" w14:textId="456AAB75" w:rsidR="007D5F2B" w:rsidRPr="00550D70" w:rsidRDefault="00540AAA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Cohen J., Marcum Z., Zhang C., et al. Risk of Mild Cognitive Impairment or Probable Dementia in New Users of Angiotensin II Receptor Blockers and Angiotensin-Converting Enzyme Inhibitors: A Secondary Analysis of Data 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the Systolic Blood Pressure Intervention Trial (SPRINT). </w:t>
      </w:r>
      <w:r>
        <w:rPr>
          <w:rFonts w:ascii="Arial" w:hAnsi="Arial" w:cs="Arial"/>
          <w:i/>
          <w:iCs/>
          <w:sz w:val="20"/>
          <w:szCs w:val="20"/>
        </w:rPr>
        <w:t xml:space="preserve">JAMA Network Open. </w:t>
      </w:r>
      <w:r>
        <w:rPr>
          <w:rFonts w:ascii="Arial" w:hAnsi="Arial" w:cs="Arial"/>
          <w:sz w:val="20"/>
          <w:szCs w:val="20"/>
        </w:rPr>
        <w:t>2022</w:t>
      </w:r>
      <w:r w:rsidR="00E37D01">
        <w:rPr>
          <w:rFonts w:ascii="Arial" w:hAnsi="Arial" w:cs="Arial"/>
          <w:sz w:val="20"/>
          <w:szCs w:val="20"/>
        </w:rPr>
        <w:t>;5(7</w:t>
      </w:r>
      <w:proofErr w:type="gramStart"/>
      <w:r w:rsidR="00E37D01">
        <w:rPr>
          <w:rFonts w:ascii="Arial" w:hAnsi="Arial" w:cs="Arial"/>
          <w:sz w:val="20"/>
          <w:szCs w:val="20"/>
        </w:rPr>
        <w:t>):e</w:t>
      </w:r>
      <w:proofErr w:type="gramEnd"/>
      <w:r w:rsidR="00E37D01">
        <w:rPr>
          <w:rFonts w:ascii="Arial" w:hAnsi="Arial" w:cs="Arial"/>
          <w:sz w:val="20"/>
          <w:szCs w:val="20"/>
        </w:rPr>
        <w:t>2220680. Doi: 10.1001/jamanetworkopen.2022.20680</w:t>
      </w:r>
    </w:p>
    <w:p w14:paraId="28408AEF" w14:textId="01230D95" w:rsidR="00550D70" w:rsidRPr="00F927B2" w:rsidRDefault="00465EE4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Kuan</w:t>
      </w:r>
      <w:proofErr w:type="spellEnd"/>
      <w:r>
        <w:rPr>
          <w:rFonts w:ascii="Arial" w:hAnsi="Arial" w:cs="Arial"/>
          <w:sz w:val="20"/>
          <w:szCs w:val="20"/>
        </w:rPr>
        <w:t xml:space="preserve"> Y., Huang K., Yen D., et al. Angiotensin-converting enzyme inhibitors and angiotensin II receptor blockers reduced dementia risk in patients with diabetes mellitus and hypertension. </w:t>
      </w:r>
      <w:r w:rsidR="00CF239C">
        <w:rPr>
          <w:rFonts w:ascii="Arial" w:hAnsi="Arial" w:cs="Arial"/>
          <w:i/>
          <w:iCs/>
          <w:sz w:val="20"/>
          <w:szCs w:val="20"/>
        </w:rPr>
        <w:t>International Journal of Cardiology</w:t>
      </w:r>
      <w:r w:rsidR="00CF239C">
        <w:rPr>
          <w:rFonts w:ascii="Arial" w:hAnsi="Arial" w:cs="Arial"/>
          <w:sz w:val="20"/>
          <w:szCs w:val="20"/>
        </w:rPr>
        <w:t>.</w:t>
      </w:r>
      <w:r w:rsidR="000007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60B9C">
        <w:rPr>
          <w:rFonts w:ascii="Arial" w:hAnsi="Arial" w:cs="Arial"/>
          <w:sz w:val="20"/>
          <w:szCs w:val="20"/>
        </w:rPr>
        <w:t>2016</w:t>
      </w:r>
      <w:r w:rsidR="0000076F">
        <w:rPr>
          <w:rFonts w:ascii="Arial" w:hAnsi="Arial" w:cs="Arial"/>
          <w:sz w:val="20"/>
          <w:szCs w:val="20"/>
        </w:rPr>
        <w:t>;220:</w:t>
      </w:r>
      <w:r w:rsidR="00460B9C">
        <w:rPr>
          <w:rFonts w:ascii="Arial" w:hAnsi="Arial" w:cs="Arial"/>
          <w:sz w:val="20"/>
          <w:szCs w:val="20"/>
        </w:rPr>
        <w:t>462</w:t>
      </w:r>
      <w:proofErr w:type="gramEnd"/>
      <w:r w:rsidR="00460B9C">
        <w:rPr>
          <w:rFonts w:ascii="Arial" w:hAnsi="Arial" w:cs="Arial"/>
          <w:sz w:val="20"/>
          <w:szCs w:val="20"/>
        </w:rPr>
        <w:t xml:space="preserve">-466. </w:t>
      </w:r>
    </w:p>
    <w:p w14:paraId="38CCC58D" w14:textId="3841D286" w:rsidR="00F927B2" w:rsidRPr="001A6B04" w:rsidRDefault="00393F62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Kehoe P. The Coming of Age of the Angiotensin Hypothesis in Alzheimer’s Disease: Progress Toward Disease Prevention and Treatment? </w:t>
      </w:r>
      <w:r w:rsidR="00DC1B84">
        <w:rPr>
          <w:rFonts w:ascii="Arial" w:hAnsi="Arial" w:cs="Arial"/>
          <w:i/>
          <w:iCs/>
          <w:sz w:val="20"/>
          <w:szCs w:val="20"/>
        </w:rPr>
        <w:t xml:space="preserve">Journal of Alzheimer’s Disease. </w:t>
      </w:r>
      <w:r w:rsidR="00DC1B84">
        <w:rPr>
          <w:rFonts w:ascii="Arial" w:hAnsi="Arial" w:cs="Arial"/>
          <w:sz w:val="20"/>
          <w:szCs w:val="20"/>
        </w:rPr>
        <w:t>2018:62(3)1443-1466. Doi:10.3233/JAD-17111</w:t>
      </w:r>
      <w:r w:rsidR="00D4321F">
        <w:rPr>
          <w:rFonts w:ascii="Arial" w:hAnsi="Arial" w:cs="Arial"/>
          <w:sz w:val="20"/>
          <w:szCs w:val="20"/>
        </w:rPr>
        <w:t>9</w:t>
      </w:r>
    </w:p>
    <w:p w14:paraId="503627BC" w14:textId="7C71FC51" w:rsidR="001A6B04" w:rsidRPr="007B1013" w:rsidRDefault="00CC0BD9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Petek</w:t>
      </w:r>
      <w:proofErr w:type="spellEnd"/>
      <w:r>
        <w:rPr>
          <w:rFonts w:ascii="Arial" w:hAnsi="Arial" w:cs="Arial"/>
          <w:sz w:val="20"/>
          <w:szCs w:val="20"/>
        </w:rPr>
        <w:t xml:space="preserve"> B., Villa-Lopez R., Loera-Valencia G., et al. Connecting the brain cholesterol and renin-angiotensin systems: potential role of statins and RAS-modifying medications is dementia. </w:t>
      </w:r>
      <w:r>
        <w:rPr>
          <w:rFonts w:ascii="Arial" w:hAnsi="Arial" w:cs="Arial"/>
          <w:i/>
          <w:iCs/>
          <w:sz w:val="20"/>
          <w:szCs w:val="20"/>
        </w:rPr>
        <w:t xml:space="preserve">Journal of Internal Medicine. </w:t>
      </w:r>
      <w:r>
        <w:rPr>
          <w:rFonts w:ascii="Arial" w:hAnsi="Arial" w:cs="Arial"/>
          <w:sz w:val="20"/>
          <w:szCs w:val="20"/>
        </w:rPr>
        <w:t>2018</w:t>
      </w:r>
      <w:r w:rsidR="007B1013">
        <w:rPr>
          <w:rFonts w:ascii="Arial" w:hAnsi="Arial" w:cs="Arial"/>
          <w:sz w:val="20"/>
          <w:szCs w:val="20"/>
        </w:rPr>
        <w:t xml:space="preserve">, 284:620-642. Doi:10.1111/joim.12838. </w:t>
      </w:r>
    </w:p>
    <w:p w14:paraId="3BE9A1B1" w14:textId="1DE2C309" w:rsidR="007B1013" w:rsidRPr="008B5634" w:rsidRDefault="00DC1AC3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Hughes D., </w:t>
      </w:r>
      <w:r w:rsidR="008E7488">
        <w:rPr>
          <w:rFonts w:ascii="Arial" w:hAnsi="Arial" w:cs="Arial"/>
          <w:sz w:val="20"/>
          <w:szCs w:val="20"/>
        </w:rPr>
        <w:t xml:space="preserve">Judge C., Murphy R., et al. Association of Blood Pressure Lowering </w:t>
      </w:r>
      <w:proofErr w:type="gramStart"/>
      <w:r w:rsidR="008E7488">
        <w:rPr>
          <w:rFonts w:ascii="Arial" w:hAnsi="Arial" w:cs="Arial"/>
          <w:sz w:val="20"/>
          <w:szCs w:val="20"/>
        </w:rPr>
        <w:t>With</w:t>
      </w:r>
      <w:proofErr w:type="gramEnd"/>
      <w:r w:rsidR="008E7488">
        <w:rPr>
          <w:rFonts w:ascii="Arial" w:hAnsi="Arial" w:cs="Arial"/>
          <w:sz w:val="20"/>
          <w:szCs w:val="20"/>
        </w:rPr>
        <w:t xml:space="preserve"> Incident Dementia or Cognitive Impairment: A Systematic Review and Meta-analysis. </w:t>
      </w:r>
      <w:r w:rsidR="008E7488">
        <w:rPr>
          <w:rFonts w:ascii="Arial" w:hAnsi="Arial" w:cs="Arial"/>
          <w:i/>
          <w:iCs/>
          <w:sz w:val="20"/>
          <w:szCs w:val="20"/>
        </w:rPr>
        <w:t xml:space="preserve">JAMA. </w:t>
      </w:r>
      <w:r w:rsidR="008E7488">
        <w:rPr>
          <w:rFonts w:ascii="Arial" w:hAnsi="Arial" w:cs="Arial"/>
          <w:sz w:val="20"/>
          <w:szCs w:val="20"/>
        </w:rPr>
        <w:t>2020;323(19):1934-1944. Doi:10.101001/jama</w:t>
      </w:r>
      <w:r w:rsidR="008B5634">
        <w:rPr>
          <w:rFonts w:ascii="Arial" w:hAnsi="Arial" w:cs="Arial"/>
          <w:sz w:val="20"/>
          <w:szCs w:val="20"/>
        </w:rPr>
        <w:t>.2020.4249.</w:t>
      </w:r>
    </w:p>
    <w:p w14:paraId="1F60EBC4" w14:textId="37F5893C" w:rsidR="008B5634" w:rsidRPr="0069754C" w:rsidRDefault="00EA23B9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Kaschina</w:t>
      </w:r>
      <w:proofErr w:type="spellEnd"/>
      <w:r>
        <w:rPr>
          <w:rFonts w:ascii="Arial" w:hAnsi="Arial" w:cs="Arial"/>
          <w:sz w:val="20"/>
          <w:szCs w:val="20"/>
        </w:rPr>
        <w:t xml:space="preserve"> E., </w:t>
      </w:r>
      <w:proofErr w:type="spellStart"/>
      <w:r>
        <w:rPr>
          <w:rFonts w:ascii="Arial" w:hAnsi="Arial" w:cs="Arial"/>
          <w:sz w:val="20"/>
          <w:szCs w:val="20"/>
        </w:rPr>
        <w:t>Namsolleck</w:t>
      </w:r>
      <w:proofErr w:type="spellEnd"/>
      <w:r>
        <w:rPr>
          <w:rFonts w:ascii="Arial" w:hAnsi="Arial" w:cs="Arial"/>
          <w:sz w:val="20"/>
          <w:szCs w:val="20"/>
        </w:rPr>
        <w:t xml:space="preserve"> P., Unger T.</w:t>
      </w:r>
      <w:r w:rsidR="00FC3595">
        <w:rPr>
          <w:rFonts w:ascii="Arial" w:hAnsi="Arial" w:cs="Arial"/>
          <w:sz w:val="20"/>
          <w:szCs w:val="20"/>
        </w:rPr>
        <w:t xml:space="preserve"> AT2 Receptors in cardiovascular and renal diseases. </w:t>
      </w:r>
      <w:r w:rsidR="009C38EF">
        <w:rPr>
          <w:rFonts w:ascii="Arial" w:hAnsi="Arial" w:cs="Arial"/>
          <w:i/>
          <w:iCs/>
          <w:sz w:val="20"/>
          <w:szCs w:val="20"/>
        </w:rPr>
        <w:t xml:space="preserve">Pharmacologic Research. </w:t>
      </w:r>
      <w:proofErr w:type="gramStart"/>
      <w:r w:rsidR="009C38EF">
        <w:rPr>
          <w:rFonts w:ascii="Arial" w:hAnsi="Arial" w:cs="Arial"/>
          <w:sz w:val="20"/>
          <w:szCs w:val="20"/>
        </w:rPr>
        <w:t>2017;</w:t>
      </w:r>
      <w:r w:rsidR="0082143A">
        <w:rPr>
          <w:rFonts w:ascii="Arial" w:hAnsi="Arial" w:cs="Arial"/>
          <w:sz w:val="20"/>
          <w:szCs w:val="20"/>
        </w:rPr>
        <w:t>125:39</w:t>
      </w:r>
      <w:proofErr w:type="gramEnd"/>
      <w:r w:rsidR="0082143A">
        <w:rPr>
          <w:rFonts w:ascii="Arial" w:hAnsi="Arial" w:cs="Arial"/>
          <w:sz w:val="20"/>
          <w:szCs w:val="20"/>
        </w:rPr>
        <w:t xml:space="preserve">-47. </w:t>
      </w:r>
    </w:p>
    <w:p w14:paraId="619E84A8" w14:textId="4252A580" w:rsidR="0069754C" w:rsidRPr="00480908" w:rsidRDefault="0069754C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Livingston G., Huntley J., </w:t>
      </w:r>
      <w:proofErr w:type="spellStart"/>
      <w:r>
        <w:rPr>
          <w:rFonts w:ascii="Arial" w:hAnsi="Arial" w:cs="Arial"/>
          <w:sz w:val="20"/>
          <w:szCs w:val="20"/>
        </w:rPr>
        <w:t>Sommerlad</w:t>
      </w:r>
      <w:proofErr w:type="spellEnd"/>
      <w:r>
        <w:rPr>
          <w:rFonts w:ascii="Arial" w:hAnsi="Arial" w:cs="Arial"/>
          <w:sz w:val="20"/>
          <w:szCs w:val="20"/>
        </w:rPr>
        <w:t xml:space="preserve"> A., et al. Dementia prevention, intervention and care: 2020 report of the </w:t>
      </w:r>
      <w:r>
        <w:rPr>
          <w:rFonts w:ascii="Arial" w:hAnsi="Arial" w:cs="Arial"/>
          <w:i/>
          <w:iCs/>
          <w:sz w:val="20"/>
          <w:szCs w:val="20"/>
        </w:rPr>
        <w:t xml:space="preserve">Lancet </w:t>
      </w:r>
      <w:r>
        <w:rPr>
          <w:rFonts w:ascii="Arial" w:hAnsi="Arial" w:cs="Arial"/>
          <w:sz w:val="20"/>
          <w:szCs w:val="20"/>
        </w:rPr>
        <w:t xml:space="preserve">Commission. </w:t>
      </w:r>
      <w:r>
        <w:rPr>
          <w:rFonts w:ascii="Arial" w:hAnsi="Arial" w:cs="Arial"/>
          <w:i/>
          <w:iCs/>
          <w:sz w:val="20"/>
          <w:szCs w:val="20"/>
        </w:rPr>
        <w:t xml:space="preserve">Lancet. </w:t>
      </w:r>
      <w:r w:rsidR="00480908">
        <w:rPr>
          <w:rFonts w:ascii="Arial" w:hAnsi="Arial" w:cs="Arial"/>
          <w:sz w:val="20"/>
          <w:szCs w:val="20"/>
        </w:rPr>
        <w:t xml:space="preserve">2020;396(10248):413-446. Doi:10.1016/S0140-6736(2)30367-6. </w:t>
      </w:r>
    </w:p>
    <w:p w14:paraId="77A3F48A" w14:textId="3E56C59D" w:rsidR="00480908" w:rsidRPr="002A1B39" w:rsidRDefault="00295F55" w:rsidP="000E74AF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Levi </w:t>
      </w:r>
      <w:proofErr w:type="spellStart"/>
      <w:r>
        <w:rPr>
          <w:rFonts w:ascii="Arial" w:hAnsi="Arial" w:cs="Arial"/>
          <w:sz w:val="20"/>
          <w:szCs w:val="20"/>
        </w:rPr>
        <w:t>Marpillat</w:t>
      </w:r>
      <w:proofErr w:type="spellEnd"/>
      <w:r>
        <w:rPr>
          <w:rFonts w:ascii="Arial" w:hAnsi="Arial" w:cs="Arial"/>
          <w:sz w:val="20"/>
          <w:szCs w:val="20"/>
        </w:rPr>
        <w:t xml:space="preserve"> N., </w:t>
      </w:r>
      <w:proofErr w:type="spellStart"/>
      <w:r>
        <w:rPr>
          <w:rFonts w:ascii="Arial" w:hAnsi="Arial" w:cs="Arial"/>
          <w:sz w:val="20"/>
          <w:szCs w:val="20"/>
        </w:rPr>
        <w:t>Macquin-Mavier</w:t>
      </w:r>
      <w:proofErr w:type="spellEnd"/>
      <w:r>
        <w:rPr>
          <w:rFonts w:ascii="Arial" w:hAnsi="Arial" w:cs="Arial"/>
          <w:sz w:val="20"/>
          <w:szCs w:val="20"/>
        </w:rPr>
        <w:t xml:space="preserve"> I.</w:t>
      </w:r>
      <w:r w:rsidR="007C79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Tropeano</w:t>
      </w:r>
      <w:proofErr w:type="spellEnd"/>
      <w:r>
        <w:rPr>
          <w:rFonts w:ascii="Arial" w:hAnsi="Arial" w:cs="Arial"/>
          <w:sz w:val="20"/>
          <w:szCs w:val="20"/>
        </w:rPr>
        <w:t xml:space="preserve"> A-I., et al. </w:t>
      </w:r>
      <w:r w:rsidR="005D143C">
        <w:rPr>
          <w:rFonts w:ascii="Arial" w:hAnsi="Arial" w:cs="Arial"/>
          <w:sz w:val="20"/>
          <w:szCs w:val="20"/>
        </w:rPr>
        <w:t xml:space="preserve">Antihypertensive classes, cognitive decline and incidence of dementia: a network meta-analysis. </w:t>
      </w:r>
      <w:r w:rsidR="005D143C">
        <w:rPr>
          <w:rFonts w:ascii="Arial" w:hAnsi="Arial" w:cs="Arial"/>
          <w:i/>
          <w:iCs/>
          <w:sz w:val="20"/>
          <w:szCs w:val="20"/>
        </w:rPr>
        <w:t>Journal of Hypertension</w:t>
      </w:r>
      <w:r w:rsidR="00417F8C">
        <w:rPr>
          <w:rFonts w:ascii="Arial" w:hAnsi="Arial" w:cs="Arial"/>
          <w:i/>
          <w:iCs/>
          <w:sz w:val="20"/>
          <w:szCs w:val="20"/>
        </w:rPr>
        <w:t xml:space="preserve">. </w:t>
      </w:r>
      <w:r w:rsidR="00417F8C">
        <w:rPr>
          <w:rFonts w:ascii="Arial" w:hAnsi="Arial" w:cs="Arial"/>
          <w:sz w:val="20"/>
          <w:szCs w:val="20"/>
        </w:rPr>
        <w:t>2013;31(6):1073-1082. Doi:10.1097/HJH.</w:t>
      </w:r>
      <w:r w:rsidR="006E119C">
        <w:rPr>
          <w:rFonts w:ascii="Arial" w:hAnsi="Arial" w:cs="Arial"/>
          <w:sz w:val="20"/>
          <w:szCs w:val="20"/>
        </w:rPr>
        <w:t>0b013e3283603f53</w:t>
      </w:r>
      <w:r w:rsidR="007C79CA">
        <w:rPr>
          <w:rFonts w:ascii="Arial" w:hAnsi="Arial" w:cs="Arial"/>
          <w:sz w:val="20"/>
          <w:szCs w:val="20"/>
        </w:rPr>
        <w:t xml:space="preserve"> </w:t>
      </w:r>
    </w:p>
    <w:sectPr w:rsidR="00480908" w:rsidRPr="002A1B39" w:rsidSect="00B87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9AB4" w14:textId="77777777" w:rsidR="00996E0E" w:rsidRDefault="00996E0E" w:rsidP="00642A47">
      <w:r>
        <w:separator/>
      </w:r>
    </w:p>
  </w:endnote>
  <w:endnote w:type="continuationSeparator" w:id="0">
    <w:p w14:paraId="0CD90B8D" w14:textId="77777777" w:rsidR="00996E0E" w:rsidRDefault="00996E0E" w:rsidP="00642A47">
      <w:r>
        <w:continuationSeparator/>
      </w:r>
    </w:p>
  </w:endnote>
  <w:endnote w:type="continuationNotice" w:id="1">
    <w:p w14:paraId="0643F6C1" w14:textId="77777777" w:rsidR="00996E0E" w:rsidRDefault="00996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302D" w14:textId="77777777" w:rsidR="00996E0E" w:rsidRDefault="00996E0E" w:rsidP="00642A47">
      <w:r>
        <w:separator/>
      </w:r>
    </w:p>
  </w:footnote>
  <w:footnote w:type="continuationSeparator" w:id="0">
    <w:p w14:paraId="2B00E1CD" w14:textId="77777777" w:rsidR="00996E0E" w:rsidRDefault="00996E0E" w:rsidP="00642A47">
      <w:r>
        <w:continuationSeparator/>
      </w:r>
    </w:p>
  </w:footnote>
  <w:footnote w:type="continuationNotice" w:id="1">
    <w:p w14:paraId="361C7323" w14:textId="77777777" w:rsidR="00996E0E" w:rsidRDefault="00996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"/>
      </v:shape>
    </w:pict>
  </w:numPicBullet>
  <w:abstractNum w:abstractNumId="0" w15:restartNumberingAfterBreak="0">
    <w:nsid w:val="00462BCD"/>
    <w:multiLevelType w:val="hybridMultilevel"/>
    <w:tmpl w:val="37225C2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728F"/>
    <w:multiLevelType w:val="hybridMultilevel"/>
    <w:tmpl w:val="3B50CA92"/>
    <w:lvl w:ilvl="0" w:tplc="C9C62FF2">
      <w:start w:val="1"/>
      <w:numFmt w:val="bullet"/>
      <w:lvlText w:val="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7FDB"/>
    <w:multiLevelType w:val="hybridMultilevel"/>
    <w:tmpl w:val="7AFA6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D7D1A"/>
    <w:multiLevelType w:val="hybridMultilevel"/>
    <w:tmpl w:val="DBD4E3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B63D6"/>
    <w:multiLevelType w:val="hybridMultilevel"/>
    <w:tmpl w:val="C534E9B6"/>
    <w:lvl w:ilvl="0" w:tplc="ED068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66D8"/>
    <w:multiLevelType w:val="hybridMultilevel"/>
    <w:tmpl w:val="6B201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320A3"/>
    <w:multiLevelType w:val="multilevel"/>
    <w:tmpl w:val="C7A47C8E"/>
    <w:numStyleLink w:val="Style2"/>
  </w:abstractNum>
  <w:abstractNum w:abstractNumId="7" w15:restartNumberingAfterBreak="0">
    <w:nsid w:val="17B06BF6"/>
    <w:multiLevelType w:val="multilevel"/>
    <w:tmpl w:val="114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E6E95"/>
    <w:multiLevelType w:val="hybridMultilevel"/>
    <w:tmpl w:val="2AD21A88"/>
    <w:lvl w:ilvl="0" w:tplc="1690D5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6C63"/>
    <w:multiLevelType w:val="hybridMultilevel"/>
    <w:tmpl w:val="2136732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74FEA"/>
    <w:multiLevelType w:val="hybridMultilevel"/>
    <w:tmpl w:val="C840C29A"/>
    <w:lvl w:ilvl="0" w:tplc="09488F5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71A1D"/>
    <w:multiLevelType w:val="hybridMultilevel"/>
    <w:tmpl w:val="F34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A6427"/>
    <w:multiLevelType w:val="hybridMultilevel"/>
    <w:tmpl w:val="CA9A0E6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40AC4"/>
    <w:multiLevelType w:val="hybridMultilevel"/>
    <w:tmpl w:val="BF2A651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91F46"/>
    <w:multiLevelType w:val="hybridMultilevel"/>
    <w:tmpl w:val="DFA4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B579B"/>
    <w:multiLevelType w:val="hybridMultilevel"/>
    <w:tmpl w:val="3CDC2CAA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66E63"/>
    <w:multiLevelType w:val="hybridMultilevel"/>
    <w:tmpl w:val="49721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460F20"/>
    <w:multiLevelType w:val="hybridMultilevel"/>
    <w:tmpl w:val="CA8264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FA5AA7"/>
    <w:multiLevelType w:val="hybridMultilevel"/>
    <w:tmpl w:val="04045502"/>
    <w:lvl w:ilvl="0" w:tplc="ED068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6822"/>
    <w:multiLevelType w:val="hybridMultilevel"/>
    <w:tmpl w:val="607E26F8"/>
    <w:lvl w:ilvl="0" w:tplc="A89A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69DA"/>
    <w:multiLevelType w:val="hybridMultilevel"/>
    <w:tmpl w:val="5BC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C7F32"/>
    <w:multiLevelType w:val="hybridMultilevel"/>
    <w:tmpl w:val="088AE514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800F4"/>
    <w:multiLevelType w:val="hybridMultilevel"/>
    <w:tmpl w:val="28BE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31F86"/>
    <w:multiLevelType w:val="hybridMultilevel"/>
    <w:tmpl w:val="FDFC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67906"/>
    <w:multiLevelType w:val="hybridMultilevel"/>
    <w:tmpl w:val="56242296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32378"/>
    <w:multiLevelType w:val="multilevel"/>
    <w:tmpl w:val="C7A47C8E"/>
    <w:styleLink w:val="Style2"/>
    <w:lvl w:ilvl="0">
      <w:start w:val="1"/>
      <w:numFmt w:val="upperLetter"/>
      <w:lvlText w:val="%1."/>
      <w:lvlJc w:val="left"/>
      <w:pPr>
        <w:ind w:left="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06" w:hanging="360"/>
      </w:pPr>
    </w:lvl>
    <w:lvl w:ilvl="2">
      <w:start w:val="1"/>
      <w:numFmt w:val="lowerRoman"/>
      <w:lvlText w:val="%3."/>
      <w:lvlJc w:val="right"/>
      <w:pPr>
        <w:ind w:left="1526" w:hanging="180"/>
      </w:pPr>
    </w:lvl>
    <w:lvl w:ilvl="3">
      <w:start w:val="1"/>
      <w:numFmt w:val="decimal"/>
      <w:lvlText w:val="%4."/>
      <w:lvlJc w:val="left"/>
      <w:pPr>
        <w:ind w:left="2246" w:hanging="360"/>
      </w:pPr>
    </w:lvl>
    <w:lvl w:ilvl="4">
      <w:start w:val="1"/>
      <w:numFmt w:val="lowerLetter"/>
      <w:lvlText w:val="%5."/>
      <w:lvlJc w:val="left"/>
      <w:pPr>
        <w:ind w:left="2966" w:hanging="360"/>
      </w:pPr>
    </w:lvl>
    <w:lvl w:ilvl="5">
      <w:start w:val="1"/>
      <w:numFmt w:val="lowerRoman"/>
      <w:lvlText w:val="%6."/>
      <w:lvlJc w:val="right"/>
      <w:pPr>
        <w:ind w:left="3686" w:hanging="180"/>
      </w:pPr>
    </w:lvl>
    <w:lvl w:ilvl="6">
      <w:start w:val="1"/>
      <w:numFmt w:val="decimal"/>
      <w:lvlText w:val="%7."/>
      <w:lvlJc w:val="left"/>
      <w:pPr>
        <w:ind w:left="4406" w:hanging="360"/>
      </w:pPr>
    </w:lvl>
    <w:lvl w:ilvl="7">
      <w:start w:val="1"/>
      <w:numFmt w:val="lowerLetter"/>
      <w:lvlText w:val="%8."/>
      <w:lvlJc w:val="left"/>
      <w:pPr>
        <w:ind w:left="5126" w:hanging="360"/>
      </w:pPr>
    </w:lvl>
    <w:lvl w:ilvl="8">
      <w:start w:val="1"/>
      <w:numFmt w:val="lowerRoman"/>
      <w:lvlText w:val="%9."/>
      <w:lvlJc w:val="right"/>
      <w:pPr>
        <w:ind w:left="5846" w:hanging="180"/>
      </w:pPr>
    </w:lvl>
  </w:abstractNum>
  <w:abstractNum w:abstractNumId="26" w15:restartNumberingAfterBreak="0">
    <w:nsid w:val="5BAE5F7F"/>
    <w:multiLevelType w:val="hybridMultilevel"/>
    <w:tmpl w:val="95AC6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FA2E88"/>
    <w:multiLevelType w:val="hybridMultilevel"/>
    <w:tmpl w:val="A384A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F1052"/>
    <w:multiLevelType w:val="hybridMultilevel"/>
    <w:tmpl w:val="AA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B2AD2"/>
    <w:multiLevelType w:val="hybridMultilevel"/>
    <w:tmpl w:val="F2F6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750CC"/>
    <w:multiLevelType w:val="hybridMultilevel"/>
    <w:tmpl w:val="4BC4EC4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63AA1"/>
    <w:multiLevelType w:val="hybridMultilevel"/>
    <w:tmpl w:val="E7F0A60A"/>
    <w:lvl w:ilvl="0" w:tplc="A89A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F710E"/>
    <w:multiLevelType w:val="singleLevel"/>
    <w:tmpl w:val="C7FE1498"/>
    <w:lvl w:ilvl="0">
      <w:start w:val="77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33" w15:restartNumberingAfterBreak="0">
    <w:nsid w:val="745064BF"/>
    <w:multiLevelType w:val="hybridMultilevel"/>
    <w:tmpl w:val="625C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E29B9"/>
    <w:multiLevelType w:val="hybridMultilevel"/>
    <w:tmpl w:val="B02C0BCC"/>
    <w:lvl w:ilvl="0" w:tplc="408C93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4B2923"/>
    <w:multiLevelType w:val="hybridMultilevel"/>
    <w:tmpl w:val="BCA4870E"/>
    <w:lvl w:ilvl="0" w:tplc="408C93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A17EA"/>
    <w:multiLevelType w:val="hybridMultilevel"/>
    <w:tmpl w:val="453C69D6"/>
    <w:lvl w:ilvl="0" w:tplc="A89AC61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 w16cid:durableId="1790271921">
    <w:abstractNumId w:val="30"/>
  </w:num>
  <w:num w:numId="2" w16cid:durableId="1651052979">
    <w:abstractNumId w:val="3"/>
  </w:num>
  <w:num w:numId="3" w16cid:durableId="997686120">
    <w:abstractNumId w:val="13"/>
  </w:num>
  <w:num w:numId="4" w16cid:durableId="944775938">
    <w:abstractNumId w:val="9"/>
  </w:num>
  <w:num w:numId="5" w16cid:durableId="382222042">
    <w:abstractNumId w:val="12"/>
  </w:num>
  <w:num w:numId="6" w16cid:durableId="10953445">
    <w:abstractNumId w:val="17"/>
  </w:num>
  <w:num w:numId="7" w16cid:durableId="1888225609">
    <w:abstractNumId w:val="29"/>
  </w:num>
  <w:num w:numId="8" w16cid:durableId="1684286314">
    <w:abstractNumId w:val="0"/>
  </w:num>
  <w:num w:numId="9" w16cid:durableId="1417827271">
    <w:abstractNumId w:val="35"/>
  </w:num>
  <w:num w:numId="10" w16cid:durableId="1526824746">
    <w:abstractNumId w:val="34"/>
  </w:num>
  <w:num w:numId="11" w16cid:durableId="725690210">
    <w:abstractNumId w:val="10"/>
  </w:num>
  <w:num w:numId="12" w16cid:durableId="300890618">
    <w:abstractNumId w:val="11"/>
  </w:num>
  <w:num w:numId="13" w16cid:durableId="154415780">
    <w:abstractNumId w:val="32"/>
  </w:num>
  <w:num w:numId="14" w16cid:durableId="747920939">
    <w:abstractNumId w:val="33"/>
  </w:num>
  <w:num w:numId="15" w16cid:durableId="1449086258">
    <w:abstractNumId w:val="4"/>
  </w:num>
  <w:num w:numId="16" w16cid:durableId="1466656378">
    <w:abstractNumId w:val="18"/>
  </w:num>
  <w:num w:numId="17" w16cid:durableId="1717969649">
    <w:abstractNumId w:val="31"/>
  </w:num>
  <w:num w:numId="18" w16cid:durableId="2075472270">
    <w:abstractNumId w:val="36"/>
  </w:num>
  <w:num w:numId="19" w16cid:durableId="1524828775">
    <w:abstractNumId w:val="19"/>
  </w:num>
  <w:num w:numId="20" w16cid:durableId="1917738575">
    <w:abstractNumId w:val="20"/>
  </w:num>
  <w:num w:numId="21" w16cid:durableId="2054961298">
    <w:abstractNumId w:val="24"/>
  </w:num>
  <w:num w:numId="22" w16cid:durableId="252781425">
    <w:abstractNumId w:val="15"/>
  </w:num>
  <w:num w:numId="23" w16cid:durableId="1204101262">
    <w:abstractNumId w:val="1"/>
  </w:num>
  <w:num w:numId="24" w16cid:durableId="397020857">
    <w:abstractNumId w:val="21"/>
  </w:num>
  <w:num w:numId="25" w16cid:durableId="670524040">
    <w:abstractNumId w:val="6"/>
  </w:num>
  <w:num w:numId="26" w16cid:durableId="1823308925">
    <w:abstractNumId w:val="25"/>
  </w:num>
  <w:num w:numId="27" w16cid:durableId="30112572">
    <w:abstractNumId w:val="16"/>
  </w:num>
  <w:num w:numId="28" w16cid:durableId="1584291513">
    <w:abstractNumId w:val="27"/>
  </w:num>
  <w:num w:numId="29" w16cid:durableId="248774967">
    <w:abstractNumId w:val="7"/>
  </w:num>
  <w:num w:numId="30" w16cid:durableId="1270627717">
    <w:abstractNumId w:val="28"/>
  </w:num>
  <w:num w:numId="31" w16cid:durableId="584807957">
    <w:abstractNumId w:val="22"/>
  </w:num>
  <w:num w:numId="32" w16cid:durableId="93795379">
    <w:abstractNumId w:val="2"/>
  </w:num>
  <w:num w:numId="33" w16cid:durableId="421295793">
    <w:abstractNumId w:val="14"/>
  </w:num>
  <w:num w:numId="34" w16cid:durableId="1520974091">
    <w:abstractNumId w:val="26"/>
  </w:num>
  <w:num w:numId="35" w16cid:durableId="176626896">
    <w:abstractNumId w:val="5"/>
  </w:num>
  <w:num w:numId="36" w16cid:durableId="1238589793">
    <w:abstractNumId w:val="23"/>
  </w:num>
  <w:num w:numId="37" w16cid:durableId="1963533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47"/>
    <w:rsid w:val="0000076F"/>
    <w:rsid w:val="000104B2"/>
    <w:rsid w:val="00013C32"/>
    <w:rsid w:val="000240FC"/>
    <w:rsid w:val="000247F2"/>
    <w:rsid w:val="00043250"/>
    <w:rsid w:val="00086D13"/>
    <w:rsid w:val="000A1CF0"/>
    <w:rsid w:val="000B3A5A"/>
    <w:rsid w:val="000D3C02"/>
    <w:rsid w:val="000D6C64"/>
    <w:rsid w:val="000E74AF"/>
    <w:rsid w:val="000F4A48"/>
    <w:rsid w:val="001063C9"/>
    <w:rsid w:val="00111A07"/>
    <w:rsid w:val="001223BE"/>
    <w:rsid w:val="0012312D"/>
    <w:rsid w:val="00132AAF"/>
    <w:rsid w:val="0013692B"/>
    <w:rsid w:val="001475D7"/>
    <w:rsid w:val="00163FD5"/>
    <w:rsid w:val="00190192"/>
    <w:rsid w:val="001A3AE1"/>
    <w:rsid w:val="001A6B04"/>
    <w:rsid w:val="001A7D5A"/>
    <w:rsid w:val="001B4C78"/>
    <w:rsid w:val="001B60F3"/>
    <w:rsid w:val="001C2174"/>
    <w:rsid w:val="001E31A6"/>
    <w:rsid w:val="001F26CD"/>
    <w:rsid w:val="001F48FB"/>
    <w:rsid w:val="00210F34"/>
    <w:rsid w:val="002349CF"/>
    <w:rsid w:val="00237A13"/>
    <w:rsid w:val="00243ACF"/>
    <w:rsid w:val="00245847"/>
    <w:rsid w:val="00245B04"/>
    <w:rsid w:val="00252572"/>
    <w:rsid w:val="00262E4C"/>
    <w:rsid w:val="0028282A"/>
    <w:rsid w:val="002869CB"/>
    <w:rsid w:val="00293EDD"/>
    <w:rsid w:val="00295F55"/>
    <w:rsid w:val="002A1B39"/>
    <w:rsid w:val="002A44DA"/>
    <w:rsid w:val="002A5CD4"/>
    <w:rsid w:val="002A7BDB"/>
    <w:rsid w:val="002C4069"/>
    <w:rsid w:val="002D6182"/>
    <w:rsid w:val="002F4BE0"/>
    <w:rsid w:val="002F7EAC"/>
    <w:rsid w:val="00301E36"/>
    <w:rsid w:val="003053F4"/>
    <w:rsid w:val="00316D81"/>
    <w:rsid w:val="0034750B"/>
    <w:rsid w:val="00355541"/>
    <w:rsid w:val="00392BBF"/>
    <w:rsid w:val="00393F62"/>
    <w:rsid w:val="003B1D56"/>
    <w:rsid w:val="003B3DBF"/>
    <w:rsid w:val="003C188A"/>
    <w:rsid w:val="003E20A6"/>
    <w:rsid w:val="003F01CA"/>
    <w:rsid w:val="003F54C6"/>
    <w:rsid w:val="00402D89"/>
    <w:rsid w:val="0040333D"/>
    <w:rsid w:val="004075A3"/>
    <w:rsid w:val="00417F8C"/>
    <w:rsid w:val="00435D7A"/>
    <w:rsid w:val="00447D4D"/>
    <w:rsid w:val="00447F02"/>
    <w:rsid w:val="00460B9C"/>
    <w:rsid w:val="00465EE4"/>
    <w:rsid w:val="00467264"/>
    <w:rsid w:val="00480908"/>
    <w:rsid w:val="00493FC5"/>
    <w:rsid w:val="004A2439"/>
    <w:rsid w:val="004B4105"/>
    <w:rsid w:val="004D41D8"/>
    <w:rsid w:val="004D5C03"/>
    <w:rsid w:val="004F0E91"/>
    <w:rsid w:val="004F352E"/>
    <w:rsid w:val="00503B7E"/>
    <w:rsid w:val="005053AC"/>
    <w:rsid w:val="005340F2"/>
    <w:rsid w:val="00540118"/>
    <w:rsid w:val="00540AAA"/>
    <w:rsid w:val="00544C15"/>
    <w:rsid w:val="00550D70"/>
    <w:rsid w:val="00552858"/>
    <w:rsid w:val="005570C5"/>
    <w:rsid w:val="0057084F"/>
    <w:rsid w:val="00575BE8"/>
    <w:rsid w:val="005814DD"/>
    <w:rsid w:val="0058189D"/>
    <w:rsid w:val="005A4999"/>
    <w:rsid w:val="005A69F3"/>
    <w:rsid w:val="005A72FC"/>
    <w:rsid w:val="005D143C"/>
    <w:rsid w:val="0060277E"/>
    <w:rsid w:val="006049B3"/>
    <w:rsid w:val="0060639E"/>
    <w:rsid w:val="006229C8"/>
    <w:rsid w:val="00624CD5"/>
    <w:rsid w:val="00633D1E"/>
    <w:rsid w:val="00635868"/>
    <w:rsid w:val="00636AF9"/>
    <w:rsid w:val="00636DB0"/>
    <w:rsid w:val="00642A47"/>
    <w:rsid w:val="006445D2"/>
    <w:rsid w:val="006607D7"/>
    <w:rsid w:val="00680069"/>
    <w:rsid w:val="00685A40"/>
    <w:rsid w:val="00687B68"/>
    <w:rsid w:val="006973D6"/>
    <w:rsid w:val="0069754C"/>
    <w:rsid w:val="006B751F"/>
    <w:rsid w:val="006D3990"/>
    <w:rsid w:val="006E119C"/>
    <w:rsid w:val="006E30B9"/>
    <w:rsid w:val="006E3683"/>
    <w:rsid w:val="006E5D1A"/>
    <w:rsid w:val="006F45DB"/>
    <w:rsid w:val="006F6726"/>
    <w:rsid w:val="00701188"/>
    <w:rsid w:val="00704E65"/>
    <w:rsid w:val="00706094"/>
    <w:rsid w:val="00714153"/>
    <w:rsid w:val="00724B56"/>
    <w:rsid w:val="00734B9C"/>
    <w:rsid w:val="00737B1A"/>
    <w:rsid w:val="0078345F"/>
    <w:rsid w:val="007942C8"/>
    <w:rsid w:val="007977F5"/>
    <w:rsid w:val="007A53D6"/>
    <w:rsid w:val="007B0C17"/>
    <w:rsid w:val="007B1013"/>
    <w:rsid w:val="007B77C1"/>
    <w:rsid w:val="007C78AC"/>
    <w:rsid w:val="007C79CA"/>
    <w:rsid w:val="007D5AF6"/>
    <w:rsid w:val="007D5F2B"/>
    <w:rsid w:val="007F488C"/>
    <w:rsid w:val="00801A86"/>
    <w:rsid w:val="0082143A"/>
    <w:rsid w:val="00833758"/>
    <w:rsid w:val="008361B7"/>
    <w:rsid w:val="00843D89"/>
    <w:rsid w:val="00846B00"/>
    <w:rsid w:val="00847A22"/>
    <w:rsid w:val="008541E1"/>
    <w:rsid w:val="00861CDA"/>
    <w:rsid w:val="00864E0D"/>
    <w:rsid w:val="00873FBF"/>
    <w:rsid w:val="008750B4"/>
    <w:rsid w:val="008762AF"/>
    <w:rsid w:val="008876C8"/>
    <w:rsid w:val="00894683"/>
    <w:rsid w:val="008B1150"/>
    <w:rsid w:val="008B5634"/>
    <w:rsid w:val="008B6950"/>
    <w:rsid w:val="008D49B3"/>
    <w:rsid w:val="008D5822"/>
    <w:rsid w:val="008E05F8"/>
    <w:rsid w:val="008E57A6"/>
    <w:rsid w:val="008E7488"/>
    <w:rsid w:val="008F0659"/>
    <w:rsid w:val="008F07E9"/>
    <w:rsid w:val="008F2132"/>
    <w:rsid w:val="008F4DD6"/>
    <w:rsid w:val="00907F65"/>
    <w:rsid w:val="00932D6A"/>
    <w:rsid w:val="009356F1"/>
    <w:rsid w:val="0095467D"/>
    <w:rsid w:val="009557C6"/>
    <w:rsid w:val="00965336"/>
    <w:rsid w:val="009743DC"/>
    <w:rsid w:val="00987C89"/>
    <w:rsid w:val="00990E63"/>
    <w:rsid w:val="009917B2"/>
    <w:rsid w:val="00996E0E"/>
    <w:rsid w:val="009A471F"/>
    <w:rsid w:val="009C38EF"/>
    <w:rsid w:val="009C3B56"/>
    <w:rsid w:val="009E01FB"/>
    <w:rsid w:val="009E6C94"/>
    <w:rsid w:val="009E76E1"/>
    <w:rsid w:val="009F2E0F"/>
    <w:rsid w:val="009F708C"/>
    <w:rsid w:val="00A05E4C"/>
    <w:rsid w:val="00A107EF"/>
    <w:rsid w:val="00A10D5C"/>
    <w:rsid w:val="00A160AD"/>
    <w:rsid w:val="00A35C7C"/>
    <w:rsid w:val="00A66A19"/>
    <w:rsid w:val="00A83A3D"/>
    <w:rsid w:val="00A87AFD"/>
    <w:rsid w:val="00A92F0B"/>
    <w:rsid w:val="00A96932"/>
    <w:rsid w:val="00A97307"/>
    <w:rsid w:val="00AB3F42"/>
    <w:rsid w:val="00AD071C"/>
    <w:rsid w:val="00AD2EE6"/>
    <w:rsid w:val="00AD70D7"/>
    <w:rsid w:val="00AF165F"/>
    <w:rsid w:val="00B112D8"/>
    <w:rsid w:val="00B17FBA"/>
    <w:rsid w:val="00B4708D"/>
    <w:rsid w:val="00B52736"/>
    <w:rsid w:val="00B60073"/>
    <w:rsid w:val="00B60991"/>
    <w:rsid w:val="00B63E5A"/>
    <w:rsid w:val="00B63E74"/>
    <w:rsid w:val="00B777C5"/>
    <w:rsid w:val="00B83D90"/>
    <w:rsid w:val="00B87266"/>
    <w:rsid w:val="00BB53F6"/>
    <w:rsid w:val="00BC0544"/>
    <w:rsid w:val="00BC2CF4"/>
    <w:rsid w:val="00BD7E30"/>
    <w:rsid w:val="00BE32C9"/>
    <w:rsid w:val="00BF36E4"/>
    <w:rsid w:val="00BF702C"/>
    <w:rsid w:val="00C01451"/>
    <w:rsid w:val="00C12144"/>
    <w:rsid w:val="00C122AA"/>
    <w:rsid w:val="00C140DB"/>
    <w:rsid w:val="00C15643"/>
    <w:rsid w:val="00C165E4"/>
    <w:rsid w:val="00C316EF"/>
    <w:rsid w:val="00C34046"/>
    <w:rsid w:val="00C4444B"/>
    <w:rsid w:val="00C704B8"/>
    <w:rsid w:val="00C8716E"/>
    <w:rsid w:val="00C96405"/>
    <w:rsid w:val="00C9689B"/>
    <w:rsid w:val="00C96CEC"/>
    <w:rsid w:val="00CA0073"/>
    <w:rsid w:val="00CA025D"/>
    <w:rsid w:val="00CA0CE3"/>
    <w:rsid w:val="00CA2234"/>
    <w:rsid w:val="00CB2B0E"/>
    <w:rsid w:val="00CB41E0"/>
    <w:rsid w:val="00CB76CC"/>
    <w:rsid w:val="00CC0BD9"/>
    <w:rsid w:val="00CD13B2"/>
    <w:rsid w:val="00CD24C8"/>
    <w:rsid w:val="00CE080F"/>
    <w:rsid w:val="00CE1708"/>
    <w:rsid w:val="00CE3768"/>
    <w:rsid w:val="00CF239C"/>
    <w:rsid w:val="00D101C1"/>
    <w:rsid w:val="00D119AD"/>
    <w:rsid w:val="00D11A51"/>
    <w:rsid w:val="00D12827"/>
    <w:rsid w:val="00D317A3"/>
    <w:rsid w:val="00D32384"/>
    <w:rsid w:val="00D4321F"/>
    <w:rsid w:val="00D4686B"/>
    <w:rsid w:val="00D5438C"/>
    <w:rsid w:val="00D73A2F"/>
    <w:rsid w:val="00D86430"/>
    <w:rsid w:val="00D87F6E"/>
    <w:rsid w:val="00DA41B2"/>
    <w:rsid w:val="00DC1AC3"/>
    <w:rsid w:val="00DC1B84"/>
    <w:rsid w:val="00DD1686"/>
    <w:rsid w:val="00DD526C"/>
    <w:rsid w:val="00DE1DF9"/>
    <w:rsid w:val="00DE3F0D"/>
    <w:rsid w:val="00E0189D"/>
    <w:rsid w:val="00E03B03"/>
    <w:rsid w:val="00E070B1"/>
    <w:rsid w:val="00E167AF"/>
    <w:rsid w:val="00E177AA"/>
    <w:rsid w:val="00E259A0"/>
    <w:rsid w:val="00E367C0"/>
    <w:rsid w:val="00E37D01"/>
    <w:rsid w:val="00E442C3"/>
    <w:rsid w:val="00E4704F"/>
    <w:rsid w:val="00E547DD"/>
    <w:rsid w:val="00E6069D"/>
    <w:rsid w:val="00E66C0A"/>
    <w:rsid w:val="00E715BF"/>
    <w:rsid w:val="00E91154"/>
    <w:rsid w:val="00EA23B9"/>
    <w:rsid w:val="00EB0B2E"/>
    <w:rsid w:val="00EB5F29"/>
    <w:rsid w:val="00EC2740"/>
    <w:rsid w:val="00EE44D9"/>
    <w:rsid w:val="00EE6E8F"/>
    <w:rsid w:val="00F01DB0"/>
    <w:rsid w:val="00F06096"/>
    <w:rsid w:val="00F065FF"/>
    <w:rsid w:val="00F06B74"/>
    <w:rsid w:val="00F103F9"/>
    <w:rsid w:val="00F17CC0"/>
    <w:rsid w:val="00F31EFE"/>
    <w:rsid w:val="00F34395"/>
    <w:rsid w:val="00F412A9"/>
    <w:rsid w:val="00F43D6A"/>
    <w:rsid w:val="00F4433D"/>
    <w:rsid w:val="00F445D9"/>
    <w:rsid w:val="00F45136"/>
    <w:rsid w:val="00F5293C"/>
    <w:rsid w:val="00F56285"/>
    <w:rsid w:val="00F572FB"/>
    <w:rsid w:val="00F62970"/>
    <w:rsid w:val="00F734AA"/>
    <w:rsid w:val="00F83673"/>
    <w:rsid w:val="00F927B2"/>
    <w:rsid w:val="00FC3595"/>
    <w:rsid w:val="00FC7065"/>
    <w:rsid w:val="00FD05F9"/>
    <w:rsid w:val="00FD63A6"/>
    <w:rsid w:val="00FE59CE"/>
    <w:rsid w:val="00FF0C0C"/>
    <w:rsid w:val="01DB418A"/>
    <w:rsid w:val="20DBC7DB"/>
    <w:rsid w:val="2A45282B"/>
    <w:rsid w:val="40D38EF0"/>
    <w:rsid w:val="43A9114B"/>
    <w:rsid w:val="4FC48619"/>
    <w:rsid w:val="56E03558"/>
    <w:rsid w:val="6D51D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EAF5C"/>
  <w15:docId w15:val="{6F540C48-8DB2-433E-BD3D-6E109C35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642A47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642A47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642A4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42A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42A47"/>
    <w:rPr>
      <w:vertAlign w:val="superscript"/>
    </w:rPr>
  </w:style>
  <w:style w:type="paragraph" w:styleId="Title">
    <w:name w:val="Title"/>
    <w:basedOn w:val="Normal"/>
    <w:link w:val="TitleChar"/>
    <w:qFormat/>
    <w:rsid w:val="00642A47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42A47"/>
    <w:rPr>
      <w:rFonts w:ascii="Arial" w:eastAsia="Times New Roman" w:hAnsi="Arial" w:cs="Times New Roman"/>
      <w:b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4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3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65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apple-style-span">
    <w:name w:val="xapple-style-span"/>
    <w:rsid w:val="00965336"/>
  </w:style>
  <w:style w:type="numbering" w:customStyle="1" w:styleId="Style2">
    <w:name w:val="Style2"/>
    <w:uiPriority w:val="99"/>
    <w:rsid w:val="00E66C0A"/>
    <w:pPr>
      <w:numPr>
        <w:numId w:val="26"/>
      </w:numPr>
    </w:pPr>
  </w:style>
  <w:style w:type="paragraph" w:styleId="NormalWeb">
    <w:name w:val="Normal (Web)"/>
    <w:basedOn w:val="Normal"/>
    <w:uiPriority w:val="99"/>
    <w:semiHidden/>
    <w:unhideWhenUsed/>
    <w:rsid w:val="007C78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49B31D8C51438259AE8E6DE48F25" ma:contentTypeVersion="14" ma:contentTypeDescription="Create a new document." ma:contentTypeScope="" ma:versionID="208b91c6c1aa621aff7c6b33425ac13e">
  <xsd:schema xmlns:xsd="http://www.w3.org/2001/XMLSchema" xmlns:xs="http://www.w3.org/2001/XMLSchema" xmlns:p="http://schemas.microsoft.com/office/2006/metadata/properties" xmlns:ns3="8da5b011-5057-46b8-81be-d740091df0f7" xmlns:ns4="b3ae59f7-04e3-4c5a-b60e-55906d30116f" targetNamespace="http://schemas.microsoft.com/office/2006/metadata/properties" ma:root="true" ma:fieldsID="90363e85223243d071acac105cf3e1cc" ns3:_="" ns4:_="">
    <xsd:import namespace="8da5b011-5057-46b8-81be-d740091df0f7"/>
    <xsd:import namespace="b3ae59f7-04e3-4c5a-b60e-55906d301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5b011-5057-46b8-81be-d740091df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e59f7-04e3-4c5a-b60e-55906d301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E0480-D943-4B16-BB04-8E86F7AA289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b3ae59f7-04e3-4c5a-b60e-55906d30116f"/>
    <ds:schemaRef ds:uri="http://www.w3.org/XML/1998/namespace"/>
    <ds:schemaRef ds:uri="8da5b011-5057-46b8-81be-d740091df0f7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3FF489-29C3-4CE8-AD1D-13FB3057DE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0020B-32BA-405A-A320-B536EAC30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5b011-5057-46b8-81be-d740091df0f7"/>
    <ds:schemaRef ds:uri="b3ae59f7-04e3-4c5a-b60e-55906d301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808B8-7BEB-4D26-8F00-8644692F1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splanemj</dc:creator>
  <cp:keywords/>
  <dc:description/>
  <cp:lastModifiedBy>Dorn, Carolyn</cp:lastModifiedBy>
  <cp:revision>2</cp:revision>
  <dcterms:created xsi:type="dcterms:W3CDTF">2022-10-12T20:13:00Z</dcterms:created>
  <dcterms:modified xsi:type="dcterms:W3CDTF">2022-10-12T20:13:00Z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0x010100D58249B31D8C51438259AE8E6DE48F25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iteId">
    <vt:lpwstr>8b3dd73e-4e72-4679-b191-56da1588712b</vt:lpwstr>
  </property>
  <property fmtid="{D5CDD505-2E9C-101B-9397-08002B2CF9AE}" pid="5" name="MSIP_Label_5e4b1be8-281e-475d-98b0-21c3457e5a46_ActionId">
    <vt:lpwstr>16614f2a-21d4-474c-9584-23fc43841808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SetDate">
    <vt:lpwstr>2021-05-22T17:19:05Z</vt:lpwstr>
  </property>
  <property fmtid="{D5CDD505-2E9C-101B-9397-08002B2CF9AE}" pid="8" name="MSIP_Label_5e4b1be8-281e-475d-98b0-21c3457e5a46_Name">
    <vt:lpwstr>Public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  <property fmtid="{D5CDD505-2E9C-101B-9397-08002B2CF9AE}" pid="11" name="_DocHome">
    <vt:i4>1778197077</vt:i4>
  </property>
</Properties>
</file>