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CCE9" w14:textId="0CE92F76" w:rsidR="00ED77C6" w:rsidRPr="00561890" w:rsidRDefault="00ED77C6" w:rsidP="00ED77C6">
      <w:pPr>
        <w:jc w:val="center"/>
        <w:rPr>
          <w:rFonts w:ascii="Helvetica" w:hAnsi="Helvetica" w:cs="Helvetica"/>
          <w:sz w:val="32"/>
          <w:szCs w:val="32"/>
        </w:rPr>
      </w:pPr>
      <w:r w:rsidRPr="00561890">
        <w:rPr>
          <w:rFonts w:ascii="Helvetica" w:hAnsi="Helvetica" w:cs="Helvetica"/>
          <w:sz w:val="32"/>
          <w:szCs w:val="32"/>
        </w:rPr>
        <w:t>Addiction Medicine Lecture Day</w:t>
      </w:r>
    </w:p>
    <w:p w14:paraId="68CE853A" w14:textId="5A863D73" w:rsidR="00ED77C6" w:rsidRPr="00561890" w:rsidRDefault="00ED77C6" w:rsidP="00ED77C6">
      <w:pPr>
        <w:jc w:val="center"/>
        <w:rPr>
          <w:rFonts w:ascii="Helvetica" w:hAnsi="Helvetica" w:cs="Helvetica"/>
          <w:sz w:val="32"/>
          <w:szCs w:val="32"/>
        </w:rPr>
      </w:pPr>
      <w:r w:rsidRPr="00561890">
        <w:rPr>
          <w:rFonts w:ascii="Helvetica" w:hAnsi="Helvetica" w:cs="Helvetica"/>
          <w:sz w:val="32"/>
          <w:szCs w:val="32"/>
        </w:rPr>
        <w:t>Notes from Lectures</w:t>
      </w:r>
    </w:p>
    <w:p w14:paraId="6AF05C6F" w14:textId="14C203A6" w:rsidR="00ED77C6" w:rsidRPr="00561890" w:rsidRDefault="00ED77C6" w:rsidP="00ED77C6">
      <w:pPr>
        <w:jc w:val="center"/>
        <w:rPr>
          <w:rFonts w:ascii="Helvetica" w:hAnsi="Helvetica" w:cs="Helvetica"/>
          <w:sz w:val="32"/>
          <w:szCs w:val="32"/>
        </w:rPr>
      </w:pPr>
      <w:r w:rsidRPr="00561890">
        <w:rPr>
          <w:rFonts w:ascii="Helvetica" w:hAnsi="Helvetica" w:cs="Helvetica"/>
          <w:sz w:val="32"/>
          <w:szCs w:val="32"/>
        </w:rPr>
        <w:t>September 30, 2022</w:t>
      </w:r>
    </w:p>
    <w:p w14:paraId="7212BCE9" w14:textId="53E62D08" w:rsidR="00BB7ADC" w:rsidRDefault="00BB7ADC" w:rsidP="00ED77C6">
      <w:pPr>
        <w:jc w:val="center"/>
      </w:pPr>
    </w:p>
    <w:p w14:paraId="405A6572" w14:textId="77777777" w:rsidR="00BB7ADC" w:rsidRDefault="00BB7ADC" w:rsidP="00BB7ADC"/>
    <w:sdt>
      <w:sdtPr>
        <w:id w:val="-27725572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4540B68" w14:textId="3957C8C0" w:rsidR="00561890" w:rsidRDefault="00561890">
          <w:pPr>
            <w:pStyle w:val="TOCHeading"/>
          </w:pPr>
          <w:r>
            <w:t>Contents</w:t>
          </w:r>
        </w:p>
        <w:p w14:paraId="48ACB21A" w14:textId="61319443" w:rsidR="00561890" w:rsidRPr="00561890" w:rsidRDefault="00561890">
          <w:pPr>
            <w:pStyle w:val="TOC1"/>
            <w:tabs>
              <w:tab w:val="right" w:leader="dot" w:pos="9350"/>
            </w:tabs>
            <w:rPr>
              <w:rFonts w:ascii="Helvetica" w:hAnsi="Helvetica" w:cs="Helvetic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585981" w:history="1">
            <w:r w:rsidRPr="00561890">
              <w:rPr>
                <w:rStyle w:val="Hyperlink"/>
                <w:rFonts w:ascii="Helvetica" w:hAnsi="Helvetica" w:cs="Helvetica"/>
                <w:noProof/>
                <w:sz w:val="24"/>
                <w:szCs w:val="24"/>
              </w:rPr>
              <w:t>Engaging Patients &amp; Families in Recovery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ab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begin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instrText xml:space="preserve"> PAGEREF _Toc117585981 \h </w:instrTex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separate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>2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3960F8" w14:textId="5FAF7977" w:rsidR="00561890" w:rsidRPr="00561890" w:rsidRDefault="00561890">
          <w:pPr>
            <w:pStyle w:val="TOC1"/>
            <w:tabs>
              <w:tab w:val="right" w:leader="dot" w:pos="9350"/>
            </w:tabs>
            <w:rPr>
              <w:rFonts w:ascii="Helvetica" w:hAnsi="Helvetica" w:cs="Helvetica"/>
              <w:noProof/>
              <w:sz w:val="24"/>
              <w:szCs w:val="24"/>
            </w:rPr>
          </w:pPr>
          <w:hyperlink w:anchor="_Toc117585982" w:history="1">
            <w:r w:rsidRPr="00561890">
              <w:rPr>
                <w:rStyle w:val="Hyperlink"/>
                <w:rFonts w:ascii="Helvetica" w:hAnsi="Helvetica" w:cs="Helvetica"/>
                <w:noProof/>
                <w:sz w:val="24"/>
                <w:szCs w:val="24"/>
              </w:rPr>
              <w:t>Current Drugs of Misuse &amp; Alcohol Withdrawal Management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ab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begin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instrText xml:space="preserve"> PAGEREF _Toc117585982 \h </w:instrTex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separate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>3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49D58C" w14:textId="79755FB9" w:rsidR="00561890" w:rsidRPr="00561890" w:rsidRDefault="00561890">
          <w:pPr>
            <w:pStyle w:val="TOC1"/>
            <w:tabs>
              <w:tab w:val="right" w:leader="dot" w:pos="9350"/>
            </w:tabs>
            <w:rPr>
              <w:rFonts w:ascii="Helvetica" w:hAnsi="Helvetica" w:cs="Helvetica"/>
              <w:noProof/>
              <w:sz w:val="24"/>
              <w:szCs w:val="24"/>
            </w:rPr>
          </w:pPr>
          <w:hyperlink w:anchor="_Toc117585983" w:history="1">
            <w:r w:rsidRPr="00561890">
              <w:rPr>
                <w:rStyle w:val="Hyperlink"/>
                <w:rFonts w:ascii="Helvetica" w:hAnsi="Helvetica" w:cs="Helvetica"/>
                <w:noProof/>
                <w:sz w:val="24"/>
                <w:szCs w:val="24"/>
              </w:rPr>
              <w:t>Pain in Patients Taking Medication for OUD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ab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begin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instrText xml:space="preserve"> PAGEREF _Toc117585983 \h </w:instrTex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separate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>5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923253" w14:textId="410B2BE2" w:rsidR="00561890" w:rsidRPr="00561890" w:rsidRDefault="00561890">
          <w:pPr>
            <w:pStyle w:val="TOC1"/>
            <w:tabs>
              <w:tab w:val="right" w:leader="dot" w:pos="9350"/>
            </w:tabs>
            <w:rPr>
              <w:rFonts w:ascii="Helvetica" w:hAnsi="Helvetica" w:cs="Helvetica"/>
              <w:noProof/>
              <w:sz w:val="24"/>
              <w:szCs w:val="24"/>
            </w:rPr>
          </w:pPr>
          <w:hyperlink w:anchor="_Toc117585984" w:history="1">
            <w:r w:rsidRPr="00561890">
              <w:rPr>
                <w:rStyle w:val="Hyperlink"/>
                <w:rFonts w:ascii="Helvetica" w:hAnsi="Helvetica" w:cs="Helvetica"/>
                <w:noProof/>
                <w:sz w:val="24"/>
                <w:szCs w:val="24"/>
              </w:rPr>
              <w:t>Overdose: Evaluation, Treatment, and Harm Reduction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ab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begin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instrText xml:space="preserve"> PAGEREF _Toc117585984 \h </w:instrTex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separate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>7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A18B85" w14:textId="3D6F90BA" w:rsidR="00561890" w:rsidRPr="00561890" w:rsidRDefault="00561890">
          <w:pPr>
            <w:pStyle w:val="TOC1"/>
            <w:tabs>
              <w:tab w:val="right" w:leader="dot" w:pos="9350"/>
            </w:tabs>
            <w:rPr>
              <w:rFonts w:ascii="Helvetica" w:hAnsi="Helvetica" w:cs="Helvetica"/>
              <w:noProof/>
              <w:sz w:val="24"/>
              <w:szCs w:val="24"/>
            </w:rPr>
          </w:pPr>
          <w:hyperlink w:anchor="_Toc117585985" w:history="1">
            <w:r w:rsidRPr="00561890">
              <w:rPr>
                <w:rStyle w:val="Hyperlink"/>
                <w:rFonts w:ascii="Helvetica" w:hAnsi="Helvetica" w:cs="Helvetica"/>
                <w:noProof/>
                <w:sz w:val="24"/>
                <w:szCs w:val="24"/>
              </w:rPr>
              <w:t>Individuals with a Dual Diagnosis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ab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begin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instrText xml:space="preserve"> PAGEREF _Toc117585985 \h </w:instrTex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separate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>9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24057" w14:textId="7831D6F7" w:rsidR="00561890" w:rsidRPr="00561890" w:rsidRDefault="00561890">
          <w:pPr>
            <w:pStyle w:val="TOC1"/>
            <w:tabs>
              <w:tab w:val="right" w:leader="dot" w:pos="9350"/>
            </w:tabs>
            <w:rPr>
              <w:rFonts w:ascii="Helvetica" w:hAnsi="Helvetica" w:cs="Helvetica"/>
              <w:noProof/>
              <w:sz w:val="24"/>
              <w:szCs w:val="24"/>
            </w:rPr>
          </w:pPr>
          <w:hyperlink w:anchor="_Toc117585986" w:history="1">
            <w:r w:rsidRPr="00561890">
              <w:rPr>
                <w:rStyle w:val="Hyperlink"/>
                <w:rFonts w:ascii="Helvetica" w:hAnsi="Helvetica" w:cs="Helvetica"/>
                <w:noProof/>
                <w:sz w:val="24"/>
                <w:szCs w:val="24"/>
              </w:rPr>
              <w:t>Levels of Care for Addiction Medicine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ab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begin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instrText xml:space="preserve"> PAGEREF _Toc117585986 \h </w:instrTex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separate"/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t>10</w:t>
            </w:r>
            <w:r w:rsidRPr="00561890">
              <w:rPr>
                <w:rFonts w:ascii="Helvetica" w:hAnsi="Helvetica" w:cs="Helvetic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467C68" w14:textId="2B10AA08" w:rsidR="00561890" w:rsidRDefault="00561890">
          <w:r>
            <w:rPr>
              <w:b/>
              <w:bCs/>
              <w:noProof/>
            </w:rPr>
            <w:fldChar w:fldCharType="end"/>
          </w:r>
        </w:p>
      </w:sdtContent>
    </w:sdt>
    <w:p w14:paraId="16855977" w14:textId="77777777" w:rsidR="00ED77C6" w:rsidRDefault="00ED77C6">
      <w:r>
        <w:br w:type="page"/>
      </w:r>
    </w:p>
    <w:p w14:paraId="0765970D" w14:textId="77777777" w:rsidR="003B1B59" w:rsidRDefault="003B1B59"/>
    <w:p w14:paraId="34DDA5B4" w14:textId="190FFC4C" w:rsidR="003B1B59" w:rsidRDefault="003B1B59"/>
    <w:tbl>
      <w:tblPr>
        <w:tblStyle w:val="TableGrid"/>
        <w:tblpPr w:leftFromText="180" w:rightFromText="180" w:horzAnchor="margin" w:tblpY="405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3B1B59" w14:paraId="783FD287" w14:textId="77777777" w:rsidTr="00B47D17">
        <w:trPr>
          <w:trHeight w:val="300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421CC2" w14:textId="77777777" w:rsidR="003B1B59" w:rsidRDefault="003B1B59" w:rsidP="00F31CA5">
            <w:pPr>
              <w:pStyle w:val="Heading1"/>
            </w:pPr>
            <w:bookmarkStart w:id="0" w:name="_Toc117585981"/>
            <w:r w:rsidRPr="412B776D">
              <w:t>Engaging Patients &amp; Families in Recovery</w:t>
            </w:r>
            <w:bookmarkEnd w:id="0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45627C1" w14:textId="77777777" w:rsidR="003B1B59" w:rsidRDefault="003B1B59" w:rsidP="00B47D17">
            <w:r w:rsidRPr="412B776D">
              <w:rPr>
                <w:rFonts w:ascii="Helvetica Neue" w:eastAsia="Helvetica Neue" w:hAnsi="Helvetica Neue" w:cs="Helvetica Neue"/>
                <w:i/>
                <w:iCs/>
                <w:color w:val="000000" w:themeColor="text1"/>
              </w:rPr>
              <w:t>Shawna Lupori, Jen Eisenbeis</w:t>
            </w:r>
          </w:p>
        </w:tc>
      </w:tr>
    </w:tbl>
    <w:p w14:paraId="4BBA73D0" w14:textId="7F98AD09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Holistic care in addiction medicine takes into account the mental, social factors which contribute to symptoms and treatment plans.  </w:t>
      </w:r>
    </w:p>
    <w:p w14:paraId="265D530C" w14:textId="6A39C1C0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Supporting one another and sharing the load increases quality of care patients can expect.</w:t>
      </w:r>
    </w:p>
    <w:p w14:paraId="567B20EA" w14:textId="1280B3A6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Evaluator clinicians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(ED or detox) assess level of care using ASAM criteria, begin insurance authorizations, complete psych evaluations</w:t>
      </w:r>
    </w:p>
    <w:p w14:paraId="247C45FF" w14:textId="37853F81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Peer navigators</w:t>
      </w:r>
      <w:r w:rsidRPr="412B776D">
        <w:rPr>
          <w:rFonts w:ascii="Helvetica Neue" w:eastAsia="Helvetica Neue" w:hAnsi="Helvetica Neue" w:cs="Helvetica Neue"/>
          <w:b/>
          <w:bCs/>
          <w:color w:val="000000" w:themeColor="text1"/>
        </w:rPr>
        <w:t xml:space="preserve"> </w:t>
      </w:r>
      <w:r w:rsidRPr="412B776D">
        <w:rPr>
          <w:rFonts w:ascii="Helvetica Neue" w:eastAsia="Helvetica Neue" w:hAnsi="Helvetica Neue" w:cs="Helvetica Neue"/>
          <w:color w:val="000000" w:themeColor="text1"/>
        </w:rPr>
        <w:t>build a relationship, lead recovery group, share resources/coping skills</w:t>
      </w:r>
    </w:p>
    <w:p w14:paraId="6AF6FEA3" w14:textId="1727A909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Physicians/nursing</w:t>
      </w:r>
      <w:r w:rsidRPr="412B776D">
        <w:rPr>
          <w:rFonts w:ascii="Helvetica Neue" w:eastAsia="Helvetica Neue" w:hAnsi="Helvetica Neue" w:cs="Helvetica Neue"/>
          <w:color w:val="000000" w:themeColor="text1"/>
        </w:rPr>
        <w:t>: admission assessment, medical history, patient care, minor wound care and pass medications throughout the day (can encounter challenging patient behaviors) and are a liaison between patient and doctor</w:t>
      </w:r>
    </w:p>
    <w:p w14:paraId="2DE4B5B4" w14:textId="5B84DFF2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Social workers</w:t>
      </w:r>
      <w:r w:rsidRPr="412B776D">
        <w:rPr>
          <w:rFonts w:ascii="Helvetica Neue" w:eastAsia="Helvetica Neue" w:hAnsi="Helvetica Neue" w:cs="Helvetica Neue"/>
          <w:color w:val="000000" w:themeColor="text1"/>
        </w:rPr>
        <w:t>: groups, psychoeducation, psychosocial assessments, motivational interviewing (seeks to resolve ambivalence and empower patients to work towards goals), aftercare referrals and coordination which encourages appropriate movement through levels of care, patient advocacy</w:t>
      </w:r>
    </w:p>
    <w:p w14:paraId="2D11F2E6" w14:textId="2D3CCC41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Patient care technicians (PCT)</w:t>
      </w:r>
      <w:r w:rsidRPr="412B776D">
        <w:rPr>
          <w:rFonts w:ascii="Helvetica Neue" w:eastAsia="Helvetica Neue" w:hAnsi="Helvetica Neue" w:cs="Helvetica Neue"/>
          <w:color w:val="000000" w:themeColor="text1"/>
        </w:rPr>
        <w:t>: see patients in moments of vulnerability. vitals, patient care, conflict management, observations</w:t>
      </w:r>
    </w:p>
    <w:p w14:paraId="071B1F83" w14:textId="089F8758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LPC</w:t>
      </w:r>
      <w:r w:rsidRPr="412B776D">
        <w:rPr>
          <w:rFonts w:ascii="Helvetica Neue" w:eastAsia="Helvetica Neue" w:hAnsi="Helvetica Neue" w:cs="Helvetica Neue"/>
          <w:color w:val="000000" w:themeColor="text1"/>
        </w:rPr>
        <w:t>: Groups, family sessions, individual sessions, behavioral management, patient advocacy</w:t>
      </w:r>
    </w:p>
    <w:p w14:paraId="4505051E" w14:textId="03E16C95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Health Unit Coordinator</w:t>
      </w:r>
      <w:r w:rsidRPr="412B776D">
        <w:rPr>
          <w:rFonts w:ascii="Helvetica Neue" w:eastAsia="Helvetica Neue" w:hAnsi="Helvetica Neue" w:cs="Helvetica Neue"/>
          <w:color w:val="000000" w:themeColor="text1"/>
        </w:rPr>
        <w:t>: clerical work, admissions paperwork, charting, patient care</w:t>
      </w:r>
    </w:p>
    <w:p w14:paraId="36FA8B91" w14:textId="5FEB8A6B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Milieu therapists</w:t>
      </w:r>
      <w:r w:rsidRPr="412B776D">
        <w:rPr>
          <w:rFonts w:ascii="Helvetica Neue" w:eastAsia="Helvetica Neue" w:hAnsi="Helvetica Neue" w:cs="Helvetica Neue"/>
          <w:color w:val="000000" w:themeColor="text1"/>
        </w:rPr>
        <w:t>: a therapeutic presence group/psychoeducation, conflict resolution, stages of change assessment.</w:t>
      </w:r>
    </w:p>
    <w:p w14:paraId="73270D61" w14:textId="5ACA10F5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Addiction is chronic, compulsive, uncontrollable drug seeking &amp; use despite consequences. No one sets out with the hope of their drug use making their lives unmanageable.  </w:t>
      </w:r>
    </w:p>
    <w:p w14:paraId="17941EE6" w14:textId="65AC6791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No single treatment is right for everyone. Pathways in and out of addiction are many.</w:t>
      </w:r>
    </w:p>
    <w:p w14:paraId="3433698F" w14:textId="187BF0D3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Treat quickly: addiction’s impact on the brain makes motivation fleeting and in competition with strong cravings and ingrained patterns of behavior</w:t>
      </w:r>
    </w:p>
    <w:p w14:paraId="318A4EE9" w14:textId="502988BB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Effective treatment addresses all of the patient’s needs, not just their </w:t>
      </w:r>
      <w:r w:rsidR="004D57FF">
        <w:rPr>
          <w:rFonts w:ascii="Helvetica Neue" w:eastAsia="Helvetica Neue" w:hAnsi="Helvetica Neue" w:cs="Helvetica Neue"/>
          <w:color w:val="000000" w:themeColor="text1"/>
        </w:rPr>
        <w:t>substance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use</w:t>
      </w:r>
    </w:p>
    <w:p w14:paraId="1B70512D" w14:textId="5A2E5778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Stay in treatment long enough for it to be helpful</w:t>
      </w:r>
    </w:p>
    <w:p w14:paraId="28D0338E" w14:textId="26970BC2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Medications (can address cravings; used for a year or more in combination with behavioral therapy increases likelihood of patient success</w:t>
      </w:r>
      <w:r w:rsidR="64319516" w:rsidRPr="412B776D">
        <w:rPr>
          <w:rFonts w:ascii="Helvetica Neue" w:eastAsia="Helvetica Neue" w:hAnsi="Helvetica Neue" w:cs="Helvetica Neue"/>
          <w:color w:val="000000" w:themeColor="text1"/>
        </w:rPr>
        <w:t>)</w:t>
      </w:r>
    </w:p>
    <w:p w14:paraId="34697EC2" w14:textId="4969E88D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Person-centered care: advocate for patients to have agency over their treatments. This increases the quality of their experience even w/r/t the barriers we face as providers.</w:t>
      </w:r>
    </w:p>
    <w:p w14:paraId="3B2E785B" w14:textId="260D7834" w:rsidR="004D57FF" w:rsidRDefault="0044245C">
      <w:r>
        <w:br/>
      </w:r>
    </w:p>
    <w:p w14:paraId="6DC925F3" w14:textId="77777777" w:rsidR="004D57FF" w:rsidRDefault="004D57FF">
      <w: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412B776D" w14:paraId="45C25122" w14:textId="77777777" w:rsidTr="004D57FF">
        <w:trPr>
          <w:trHeight w:val="300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CFAD85" w14:textId="19D76887" w:rsidR="412B776D" w:rsidRDefault="412B776D" w:rsidP="00F31CA5">
            <w:pPr>
              <w:pStyle w:val="Heading1"/>
            </w:pPr>
            <w:bookmarkStart w:id="1" w:name="_Toc117585982"/>
            <w:r w:rsidRPr="412B776D">
              <w:lastRenderedPageBreak/>
              <w:t>Current Drugs of Misuse &amp; Alcohol Withdrawal Management</w:t>
            </w:r>
            <w:bookmarkEnd w:id="1"/>
            <w:r w:rsidRPr="412B776D">
              <w:t xml:space="preserve"> </w:t>
            </w:r>
            <w:r>
              <w:tab/>
            </w:r>
            <w:r>
              <w:tab/>
            </w:r>
          </w:p>
          <w:p w14:paraId="420D6FD6" w14:textId="3E6E5269" w:rsidR="412B776D" w:rsidRDefault="412B776D">
            <w:r w:rsidRPr="412B776D">
              <w:rPr>
                <w:rFonts w:ascii="Helvetica Neue" w:eastAsia="Helvetica Neue" w:hAnsi="Helvetica Neue" w:cs="Helvetica Neue"/>
                <w:i/>
                <w:iCs/>
                <w:color w:val="000000" w:themeColor="text1"/>
              </w:rPr>
              <w:t xml:space="preserve">Carin Malley MD, Anthony </w:t>
            </w:r>
            <w:proofErr w:type="spellStart"/>
            <w:r w:rsidRPr="412B776D">
              <w:rPr>
                <w:rFonts w:ascii="Helvetica Neue" w:eastAsia="Helvetica Neue" w:hAnsi="Helvetica Neue" w:cs="Helvetica Neue"/>
                <w:i/>
                <w:iCs/>
                <w:color w:val="000000" w:themeColor="text1"/>
              </w:rPr>
              <w:t>Piizon</w:t>
            </w:r>
            <w:proofErr w:type="spellEnd"/>
            <w:r w:rsidRPr="412B776D">
              <w:rPr>
                <w:rFonts w:ascii="Helvetica Neue" w:eastAsia="Helvetica Neue" w:hAnsi="Helvetica Neue" w:cs="Helvetica Neue"/>
                <w:i/>
                <w:iCs/>
                <w:color w:val="000000" w:themeColor="text1"/>
              </w:rPr>
              <w:t xml:space="preserve"> MD</w:t>
            </w:r>
          </w:p>
        </w:tc>
      </w:tr>
    </w:tbl>
    <w:p w14:paraId="6985E6A5" w14:textId="58B0183A" w:rsidR="0044245C" w:rsidRDefault="0044245C"/>
    <w:p w14:paraId="769E5111" w14:textId="70129EDD" w:rsidR="002546EB" w:rsidRPr="002546EB" w:rsidRDefault="002546EB">
      <w:pPr>
        <w:rPr>
          <w:rFonts w:ascii="Helvetica" w:hAnsi="Helvetica" w:cs="Helvetica"/>
          <w:b/>
          <w:bCs/>
        </w:rPr>
      </w:pPr>
      <w:r w:rsidRPr="002546EB">
        <w:rPr>
          <w:rFonts w:ascii="Helvetica" w:hAnsi="Helvetica" w:cs="Helvetica"/>
          <w:b/>
          <w:bCs/>
        </w:rPr>
        <w:t>Alcohol Withdrawal Management</w:t>
      </w:r>
    </w:p>
    <w:p w14:paraId="046899A2" w14:textId="6673621A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Alcohol withdrawal peaks ~72 hours after cessation</w:t>
      </w:r>
    </w:p>
    <w:p w14:paraId="3BE25063" w14:textId="2EDA0209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50% of patients with heavy, long-term use will develop some symptoms of alcohol withdrawal and 3.3% of patients with symptomatic AWS progress to delirium tremens</w:t>
      </w:r>
    </w:p>
    <w:p w14:paraId="296C1016" w14:textId="2EF2ED77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Alcoholic hallucinosis: typically visual or tactile. Orientation remains intact (as opposed to DTs). Auditory hallucinations should raise concern for primary psychiatric disorder.</w:t>
      </w:r>
    </w:p>
    <w:p w14:paraId="6708FB1D" w14:textId="564DA5A6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Seizures: typically self-limited and generalized. Repeated seizing or status epilepticus should raise concern for alternative explanation</w:t>
      </w:r>
    </w:p>
    <w:p w14:paraId="0CF20FA5" w14:textId="75FC4444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Most severe AWS: Delirium tremens. Admission to Toxicology or ICU</w:t>
      </w:r>
    </w:p>
    <w:p w14:paraId="1D8B963B" w14:textId="3FFF19D1" w:rsidR="0044245C" w:rsidRDefault="6D8A7FC5" w:rsidP="412B776D">
      <w:pPr>
        <w:pStyle w:val="ListParagraph"/>
        <w:numPr>
          <w:ilvl w:val="1"/>
          <w:numId w:val="2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Mortality 2-3% (historically 50%) </w:t>
      </w:r>
    </w:p>
    <w:p w14:paraId="1460C1B9" w14:textId="38D564F1" w:rsidR="0044245C" w:rsidRDefault="6D8A7FC5" w:rsidP="412B776D">
      <w:pPr>
        <w:pStyle w:val="ListParagraph"/>
        <w:numPr>
          <w:ilvl w:val="1"/>
          <w:numId w:val="2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Vast majority exhibit autonomic hyperactivity and severe tremor</w:t>
      </w:r>
    </w:p>
    <w:p w14:paraId="2D0E6649" w14:textId="28E15BF7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Predicting who will develop AWS: </w:t>
      </w: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all the scales have severe limitations</w:t>
      </w:r>
      <w:r w:rsidR="00B70BE3">
        <w:rPr>
          <w:rFonts w:ascii="Helvetica Neue" w:eastAsia="Helvetica Neue" w:hAnsi="Helvetica Neue" w:cs="Helvetica Neue"/>
          <w:i/>
          <w:iCs/>
          <w:color w:val="000000" w:themeColor="text1"/>
        </w:rPr>
        <w:t xml:space="preserve">, PAWSS </w:t>
      </w:r>
      <w:r w:rsidR="00BA65CD">
        <w:rPr>
          <w:rFonts w:ascii="Helvetica Neue" w:eastAsia="Helvetica Neue" w:hAnsi="Helvetica Neue" w:cs="Helvetica Neue"/>
          <w:i/>
          <w:iCs/>
          <w:color w:val="000000" w:themeColor="text1"/>
        </w:rPr>
        <w:t>has best evidence</w:t>
      </w:r>
    </w:p>
    <w:p w14:paraId="36CA3C8D" w14:textId="1216EBBA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Treatment: </w:t>
      </w:r>
    </w:p>
    <w:p w14:paraId="0060C304" w14:textId="2D3732DB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Mainstays include GABA agonists: benzos, barbiturates, propofol</w:t>
      </w:r>
    </w:p>
    <w:p w14:paraId="7267A261" w14:textId="18FEB4E9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Symptom-triggered benzos reduce total dose of medication given/length of stay </w:t>
      </w:r>
    </w:p>
    <w:p w14:paraId="42B0B4D5" w14:textId="7D2C9716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Debate continues: fixed dose barbs/symptom-triggered benzos//symptom-triggered barbs</w:t>
      </w:r>
    </w:p>
    <w:p w14:paraId="3AC06057" w14:textId="1C378C87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Adjuncts: NMDA agonists (ketamine)</w:t>
      </w:r>
    </w:p>
    <w:p w14:paraId="4D96FF33" w14:textId="3D9DCE1A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Fever from AWS does NOT improve with antipyretics </w:t>
      </w:r>
    </w:p>
    <w:p w14:paraId="009E718F" w14:textId="4B4760BF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If patient goes to sleep after one dose of GABA agonist but remains febrile and tachycardic, probably not alcohol </w:t>
      </w:r>
    </w:p>
    <w:p w14:paraId="593C1194" w14:textId="3CB9F082" w:rsidR="00370AEE" w:rsidRPr="00370AEE" w:rsidRDefault="00370AEE">
      <w:pPr>
        <w:rPr>
          <w:rFonts w:ascii="Helvetica Neue" w:eastAsia="Helvetica Neue" w:hAnsi="Helvetica Neue" w:cs="Helvetica Neue"/>
          <w:b/>
          <w:bCs/>
          <w:color w:val="000000" w:themeColor="text1"/>
        </w:rPr>
      </w:pPr>
      <w:r w:rsidRPr="00370AEE">
        <w:rPr>
          <w:rFonts w:ascii="Helvetica Neue" w:eastAsia="Helvetica Neue" w:hAnsi="Helvetica Neue" w:cs="Helvetica Neue"/>
          <w:b/>
          <w:bCs/>
          <w:color w:val="000000" w:themeColor="text1"/>
        </w:rPr>
        <w:t>Current Drugs of Misuse</w:t>
      </w:r>
    </w:p>
    <w:p w14:paraId="24DCBBFD" w14:textId="7955521D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Chemically synthesized novel drugs overseas. “If it fits, it ships.”</w:t>
      </w:r>
    </w:p>
    <w:p w14:paraId="60FF8784" w14:textId="7234193D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Poisoning via unintentional injury skyrocketing in recent use</w:t>
      </w:r>
    </w:p>
    <w:p w14:paraId="1988467D" w14:textId="5974D73F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Variability of dosing size is huge, but individuals still take big risks</w:t>
      </w:r>
    </w:p>
    <w:p w14:paraId="2C67F1B0" w14:textId="27C1F8F2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Routine urine drug tests detect morphine and heroin. Cannot detect many synthetics (tramadol, methadone, fentanyl), new psychoactive substances (NPS) </w:t>
      </w:r>
    </w:p>
    <w:p w14:paraId="7041EC5E" w14:textId="177F4BBC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i/>
          <w:iCs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Suboxone can precipitate/worsen fentanyl withdrawal: </w:t>
      </w: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unknown why</w:t>
      </w:r>
    </w:p>
    <w:p w14:paraId="02C990FC" w14:textId="6C8B0611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Marijuana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remains unapproved by the FDA for any indication </w:t>
      </w:r>
    </w:p>
    <w:p w14:paraId="20FCCF05" w14:textId="07520AA9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Schedule 1 drug at greatest danger to teenagers and children. </w:t>
      </w: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Toxicitity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generally only a true danger to children (accidental ingestion)</w:t>
      </w:r>
    </w:p>
    <w:p w14:paraId="42003E5D" w14:textId="1A0BA46D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Stimulants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: new </w:t>
      </w: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cathinones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(Western PA not a hotbed)</w:t>
      </w:r>
    </w:p>
    <w:p w14:paraId="64CCA6DA" w14:textId="1ABE5A8A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Synthetic (ex: bath salts)</w:t>
      </w:r>
    </w:p>
    <w:p w14:paraId="2BEEE4B7" w14:textId="23B9E015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Ecstasy, Methylone (bk-MDMA), MDPV (high for days) </w:t>
      </w:r>
    </w:p>
    <w:p w14:paraId="4147B9A7" w14:textId="4F6B4843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lastRenderedPageBreak/>
        <w:t>Bupropion</w:t>
      </w:r>
    </w:p>
    <w:p w14:paraId="5B0A2618" w14:textId="2F05384F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Benzodiazepines </w:t>
      </w:r>
    </w:p>
    <w:p w14:paraId="248D1B1A" w14:textId="2561DE5C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Not FDA regulated. You can have “research chemicals” shipped to your house</w:t>
      </w:r>
    </w:p>
    <w:p w14:paraId="1339083A" w14:textId="7927B2DD" w:rsidR="0044245C" w:rsidRDefault="6D8A7FC5"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Phenibut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(high use in western PA, unregulated)</w:t>
      </w:r>
    </w:p>
    <w:p w14:paraId="7B898864" w14:textId="3FDAB062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Developed in Russia as a sedative. GABA-B agonist (benzos are GABA-A). Terrible withdrawal.</w:t>
      </w:r>
    </w:p>
    <w:p w14:paraId="3FAEC69C" w14:textId="5FB1CC9B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Acid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usually a 2C-x compound, very rarely LSD</w:t>
      </w:r>
    </w:p>
    <w:p w14:paraId="4FEE6FA5" w14:textId="135CFBFB" w:rsidR="0044245C" w:rsidRDefault="6D8A7FC5">
      <w:proofErr w:type="spellStart"/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Trank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(xylazine) rarely seen in PGH</w:t>
      </w:r>
      <w:r w:rsidR="0044245C">
        <w:br/>
      </w:r>
    </w:p>
    <w:p w14:paraId="06A6B671" w14:textId="713B97B5" w:rsidR="0044245C" w:rsidRDefault="6D8A7FC5">
      <w:pPr>
        <w:rPr>
          <w:rFonts w:ascii="Helvetica Neue" w:eastAsia="Helvetica Neue" w:hAnsi="Helvetica Neue" w:cs="Helvetica Neue"/>
          <w:i/>
          <w:iCs/>
          <w:color w:val="000000" w:themeColor="text1"/>
        </w:rPr>
      </w:pP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1-800-222-1222 Pittsburgh Poison Center</w:t>
      </w:r>
    </w:p>
    <w:p w14:paraId="1637FE8E" w14:textId="7D2D548A" w:rsidR="00370AEE" w:rsidRDefault="00370AEE">
      <w:pPr>
        <w:rPr>
          <w:rFonts w:ascii="Helvetica Neue" w:eastAsia="Helvetica Neue" w:hAnsi="Helvetica Neue" w:cs="Helvetica Neue"/>
          <w:i/>
          <w:iCs/>
          <w:color w:val="000000" w:themeColor="text1"/>
        </w:rPr>
      </w:pPr>
      <w:r>
        <w:rPr>
          <w:rFonts w:ascii="Helvetica Neue" w:eastAsia="Helvetica Neue" w:hAnsi="Helvetica Neue" w:cs="Helvetica Neue"/>
          <w:i/>
          <w:iCs/>
          <w:color w:val="000000" w:themeColor="text1"/>
        </w:rP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412B776D" w14:paraId="3A690920" w14:textId="77777777" w:rsidTr="00370AEE">
        <w:trPr>
          <w:trHeight w:val="300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486737" w14:textId="7C23744D" w:rsidR="412B776D" w:rsidRDefault="412B776D" w:rsidP="00F31CA5">
            <w:pPr>
              <w:pStyle w:val="Heading1"/>
            </w:pPr>
            <w:bookmarkStart w:id="2" w:name="_Toc117585983"/>
            <w:r w:rsidRPr="412B776D">
              <w:lastRenderedPageBreak/>
              <w:t>Pain in Patients Taking Medication for OUD</w:t>
            </w:r>
            <w:bookmarkEnd w:id="2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323A487" w14:textId="58A48ABF" w:rsidR="5F5FA019" w:rsidRDefault="5F5FA019" w:rsidP="412B776D">
            <w:pPr>
              <w:spacing w:line="259" w:lineRule="auto"/>
              <w:rPr>
                <w:rFonts w:ascii="Helvetica Neue" w:eastAsia="Helvetica Neue" w:hAnsi="Helvetica Neue" w:cs="Helvetica Neue"/>
                <w:i/>
                <w:iCs/>
                <w:color w:val="000000" w:themeColor="text1"/>
              </w:rPr>
            </w:pPr>
            <w:r w:rsidRPr="412B776D">
              <w:rPr>
                <w:rFonts w:ascii="Helvetica Neue" w:eastAsia="Helvetica Neue" w:hAnsi="Helvetica Neue" w:cs="Helvetica Neue"/>
                <w:i/>
                <w:iCs/>
                <w:color w:val="000000" w:themeColor="text1"/>
              </w:rPr>
              <w:t>Julie Childers, MD</w:t>
            </w:r>
          </w:p>
        </w:tc>
      </w:tr>
    </w:tbl>
    <w:p w14:paraId="59DCD33C" w14:textId="74A835F9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Goals: eradicate stigma, differentiate types of pain, understand tolerance.</w:t>
      </w:r>
    </w:p>
    <w:p w14:paraId="1738C043" w14:textId="01365D44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Correcting myths about SUD</w:t>
      </w:r>
    </w:p>
    <w:p w14:paraId="2DEEAC3F" w14:textId="69DD86C6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Methadone/buprenorphine are dosed for withdrawal/cravings: they do NOT treat pain</w:t>
      </w:r>
    </w:p>
    <w:p w14:paraId="538FCBD9" w14:textId="72D50F62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Witholding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appropriate doses of pain management opioids might lead patients to disengage in care</w:t>
      </w:r>
    </w:p>
    <w:p w14:paraId="74EA9AC9" w14:textId="217B1788" w:rsidR="0044245C" w:rsidRDefault="6D8A7FC5">
      <w:r w:rsidRPr="412B776D">
        <w:rPr>
          <w:rFonts w:ascii="Helvetica Neue" w:eastAsia="Helvetica Neue" w:hAnsi="Helvetica Neue" w:cs="Helvetica Neue"/>
          <w:b/>
          <w:bCs/>
          <w:color w:val="000000" w:themeColor="text1"/>
        </w:rPr>
        <w:t>Patients fear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withdrawal, untreated pain, judgment and stigma from staff. Fear of relapse also common among those in recovery. Medical team can assist via:</w:t>
      </w:r>
    </w:p>
    <w:p w14:paraId="7A9A9938" w14:textId="305519D6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Discuss substance use openly and non-judgmentally</w:t>
      </w:r>
    </w:p>
    <w:p w14:paraId="1448F678" w14:textId="7CC88FB0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Use medical terms and person-centered language</w:t>
      </w:r>
    </w:p>
    <w:p w14:paraId="781AFCDB" w14:textId="6EED8582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Show care about their pain and about their individuality</w:t>
      </w:r>
    </w:p>
    <w:p w14:paraId="520D1C03" w14:textId="5BF23625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Titrate dosage appropriately to patient tolerance </w:t>
      </w:r>
    </w:p>
    <w:p w14:paraId="0EAFF860" w14:textId="7EC294F3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Acute and chronic pain are different.</w:t>
      </w:r>
    </w:p>
    <w:p w14:paraId="05CC2240" w14:textId="2E6364F9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Acute</w:t>
      </w:r>
      <w:r w:rsidRPr="412B776D">
        <w:rPr>
          <w:rFonts w:ascii="Helvetica Neue" w:eastAsia="Helvetica Neue" w:hAnsi="Helvetica Neue" w:cs="Helvetica Neue"/>
          <w:color w:val="000000" w:themeColor="text1"/>
        </w:rPr>
        <w:t>: short-term, related to a tissue injury, surgery. Effectively treated with opioids</w:t>
      </w:r>
    </w:p>
    <w:p w14:paraId="70C1D93F" w14:textId="5C27C5CA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Chronic</w:t>
      </w:r>
      <w:r w:rsidRPr="412B776D">
        <w:rPr>
          <w:rFonts w:ascii="Helvetica Neue" w:eastAsia="Helvetica Neue" w:hAnsi="Helvetica Neue" w:cs="Helvetica Neue"/>
          <w:color w:val="000000" w:themeColor="text1"/>
        </w:rPr>
        <w:t>: more than 3 months duration. Estimated 20-30% in US population. This is a disease of abnormal pain processing, a point at which opioids may no longer be an effective treatment given. Correlates (below) overlap greatly with correlates of SUD</w:t>
      </w:r>
    </w:p>
    <w:p w14:paraId="2D1245DE" w14:textId="1F747DB2" w:rsidR="0044245C" w:rsidRDefault="6D8A7FC5" w:rsidP="412B776D">
      <w:pPr>
        <w:pStyle w:val="ListParagraph"/>
        <w:numPr>
          <w:ilvl w:val="1"/>
          <w:numId w:val="2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Psych: depression, anxiety, </w:t>
      </w: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ptsd</w:t>
      </w:r>
      <w:proofErr w:type="spellEnd"/>
    </w:p>
    <w:p w14:paraId="21A8DD01" w14:textId="2D0F316A" w:rsidR="0044245C" w:rsidRDefault="6D8A7FC5" w:rsidP="412B776D">
      <w:pPr>
        <w:pStyle w:val="ListParagraph"/>
        <w:numPr>
          <w:ilvl w:val="1"/>
          <w:numId w:val="2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Low SES</w:t>
      </w:r>
    </w:p>
    <w:p w14:paraId="1569F0B3" w14:textId="442EE2A9" w:rsidR="0044245C" w:rsidRDefault="6D8A7FC5" w:rsidP="412B776D">
      <w:pPr>
        <w:pStyle w:val="ListParagraph"/>
        <w:numPr>
          <w:ilvl w:val="1"/>
          <w:numId w:val="2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Unemployment and disability</w:t>
      </w:r>
    </w:p>
    <w:p w14:paraId="1584ED9C" w14:textId="1B11E33D" w:rsidR="0044245C" w:rsidRDefault="6D8A7FC5" w:rsidP="412B776D">
      <w:pPr>
        <w:pStyle w:val="ListParagraph"/>
        <w:numPr>
          <w:ilvl w:val="1"/>
          <w:numId w:val="2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History of abuse/trauma</w:t>
      </w:r>
    </w:p>
    <w:p w14:paraId="7D09C408" w14:textId="2AA90CB4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MOUD: </w:t>
      </w:r>
    </w:p>
    <w:p w14:paraId="32EA6E16" w14:textId="40051488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64-80% of patients with OUD have chronic pain (often contributes to initiation of use) </w:t>
      </w:r>
    </w:p>
    <w:p w14:paraId="65295342" w14:textId="4B0A26A1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Chronic pain is typically incurable, severe. Pain as the “fifth vital sign” requires us to set expectations for ourselves and the patient</w:t>
      </w:r>
    </w:p>
    <w:p w14:paraId="15ABCBC1" w14:textId="21E0465D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Assess: chronic or acute (expected duration), and risk (current substance use vs. remission, how the patient is monitored)</w:t>
      </w:r>
    </w:p>
    <w:p w14:paraId="3AE0F737" w14:textId="66C715C0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Did you have pain on a daily basis before this injury occurred? How well was your pain controlled?</w:t>
      </w:r>
    </w:p>
    <w:p w14:paraId="32FA8336" w14:textId="1F4C705F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How is this current pain different from the pain you’ve had?</w:t>
      </w:r>
    </w:p>
    <w:p w14:paraId="7C930691" w14:textId="747DDA0F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Non-opioid treatments (nerve blocks, NSAIDs) equivalent to opioids in musculoskeletal pain</w:t>
      </w:r>
    </w:p>
    <w:p w14:paraId="5EEF4054" w14:textId="1F25FF07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Gabapentin: short course indicated for post-op/acute pain, to decrease opioid requirements, but opioids will likely still be necessary</w:t>
      </w:r>
    </w:p>
    <w:p w14:paraId="51C7AD61" w14:textId="10EDA39F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May require MUCH higher doses: nearly 8 times as much after TKA in one study. </w:t>
      </w:r>
    </w:p>
    <w:p w14:paraId="2783342A" w14:textId="1EFE8E3A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Begin with double the dose of an opioid-naive patient and increase </w:t>
      </w:r>
    </w:p>
    <w:p w14:paraId="1940C2B7" w14:textId="26CCE1C3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Buprenorphine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(suboxone, </w:t>
      </w: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subutex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, </w:t>
      </w: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zubsolv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): </w:t>
      </w: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continue during acute pain episode</w:t>
      </w:r>
    </w:p>
    <w:p w14:paraId="7F66ADC3" w14:textId="20CD8C1C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lastRenderedPageBreak/>
        <w:t xml:space="preserve">Partial opioid agonist. Overdose very unlikely </w:t>
      </w:r>
    </w:p>
    <w:p w14:paraId="68ECA275" w14:textId="0902F53E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Minimal euphoria, respiratory depression </w:t>
      </w:r>
    </w:p>
    <w:p w14:paraId="062A565A" w14:textId="1B4239E7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Sublingual </w:t>
      </w:r>
    </w:p>
    <w:p w14:paraId="24B6FAC4" w14:textId="3FED769C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Low-dose formulations are approved for pain</w:t>
      </w:r>
    </w:p>
    <w:p w14:paraId="4AB4AB73" w14:textId="6BD1E6BC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Methadone</w:t>
      </w:r>
    </w:p>
    <w:p w14:paraId="1DE2A5C9" w14:textId="768AAD99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Full agonist. Do not change dosing. PRN opioids if needed. Communicate with methadone clinic</w:t>
      </w:r>
    </w:p>
    <w:p w14:paraId="5F9D03F7" w14:textId="42C98CE1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Naltrexone</w:t>
      </w:r>
    </w:p>
    <w:p w14:paraId="2914722B" w14:textId="2FF0885C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i/>
          <w:iCs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Pure antagonist: blocks craving and analgesia. Given orally or through a monthly injection.</w:t>
      </w: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 xml:space="preserve"> Does not cause withdrawal when stopped</w:t>
      </w:r>
    </w:p>
    <w:p w14:paraId="1E055A10" w14:textId="6904CEDB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Stop naltrexone if painful procedure planned </w:t>
      </w:r>
    </w:p>
    <w:p w14:paraId="62BF038F" w14:textId="48A99EB9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Unplanned pain: take a careful history. Vivitrol peaks 3 days after injection, levels stable for another 15 days. </w:t>
      </w:r>
    </w:p>
    <w:p w14:paraId="67E5307B" w14:textId="272B34E0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Blockade can be overcome with increased doses, higher-affinity opioids such as fentanyl</w:t>
      </w:r>
    </w:p>
    <w:p w14:paraId="38B689BA" w14:textId="7B970359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Harm reduction</w:t>
      </w:r>
    </w:p>
    <w:p w14:paraId="331CD088" w14:textId="4CF65BB5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Meet people who use drugs (PWUD) where they’re at</w:t>
      </w:r>
    </w:p>
    <w:p w14:paraId="3489BED3" w14:textId="5285B62F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Drug use is part of our world. Our goal is to minimize negative effects and improve individual/community well-being with </w:t>
      </w: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non-judgemental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, non-coercive interventions </w:t>
      </w:r>
    </w:p>
    <w:p w14:paraId="0E85C49C" w14:textId="73AE83BF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  <w:u w:val="single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Offer SUD treatment: </w:t>
      </w: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recognize ambivalence as normal part of process</w:t>
      </w:r>
    </w:p>
    <w:p w14:paraId="52723668" w14:textId="45C039B4" w:rsidR="00370AEE" w:rsidRDefault="0044245C">
      <w:r>
        <w:br/>
      </w:r>
    </w:p>
    <w:p w14:paraId="7A729989" w14:textId="77777777" w:rsidR="00370AEE" w:rsidRDefault="00370AEE">
      <w: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412B776D" w14:paraId="185A4198" w14:textId="77777777" w:rsidTr="00370AEE">
        <w:trPr>
          <w:trHeight w:val="300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CEF3F" w14:textId="2936785B" w:rsidR="412B776D" w:rsidRDefault="412B776D" w:rsidP="00F31CA5">
            <w:pPr>
              <w:pStyle w:val="Heading1"/>
            </w:pPr>
            <w:bookmarkStart w:id="3" w:name="_Toc117585984"/>
            <w:r w:rsidRPr="412B776D">
              <w:lastRenderedPageBreak/>
              <w:t>Overdose: Evaluation, Treatment, and Harm Reduction</w:t>
            </w:r>
            <w:bookmarkEnd w:id="3"/>
          </w:p>
          <w:p w14:paraId="59026ABA" w14:textId="721ACEF4" w:rsidR="412B776D" w:rsidRDefault="412B776D">
            <w:r w:rsidRPr="412B776D">
              <w:rPr>
                <w:rFonts w:ascii="Helvetica Neue" w:eastAsia="Helvetica Neue" w:hAnsi="Helvetica Neue" w:cs="Helvetica Neue"/>
                <w:i/>
                <w:iCs/>
                <w:color w:val="000000" w:themeColor="text1"/>
              </w:rPr>
              <w:t>Michael Lynch, MD, FACMT</w:t>
            </w:r>
          </w:p>
        </w:tc>
      </w:tr>
    </w:tbl>
    <w:p w14:paraId="21D5E27A" w14:textId="7271567E" w:rsidR="0044245C" w:rsidRDefault="0044245C"/>
    <w:p w14:paraId="720AEC93" w14:textId="4B939BEB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Allegheny County has one of the highest OD rates in the state</w:t>
      </w:r>
      <w:r w:rsidR="00707323">
        <w:rPr>
          <w:rFonts w:ascii="Helvetica Neue" w:eastAsia="Helvetica Neue" w:hAnsi="Helvetica Neue" w:cs="Helvetica Neue"/>
          <w:color w:val="000000" w:themeColor="text1"/>
        </w:rPr>
        <w:t xml:space="preserve"> &amp; 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country. </w:t>
      </w:r>
    </w:p>
    <w:p w14:paraId="026BC475" w14:textId="256F61D9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Synthetic opioids (fentanyl) biggest driver for overdose deaths</w:t>
      </w:r>
    </w:p>
    <w:p w14:paraId="389F6F30" w14:textId="22A3DB55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Heroin OD deaths have decreased</w:t>
      </w:r>
    </w:p>
    <w:p w14:paraId="254B9B01" w14:textId="78D15C63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i/>
          <w:iCs/>
          <w:color w:val="000000" w:themeColor="text1"/>
        </w:rPr>
      </w:pP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Many fatalities involve +1 drug. Cutting agents are causing issues in both overdose and withdraw</w:t>
      </w:r>
      <w:r w:rsidR="00707323">
        <w:rPr>
          <w:rFonts w:ascii="Helvetica Neue" w:eastAsia="Helvetica Neue" w:hAnsi="Helvetica Neue" w:cs="Helvetica Neue"/>
          <w:i/>
          <w:iCs/>
          <w:color w:val="000000" w:themeColor="text1"/>
        </w:rPr>
        <w:t>a</w:t>
      </w: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l and complicate management.</w:t>
      </w:r>
    </w:p>
    <w:p w14:paraId="1A17DEB0" w14:textId="676E3A38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The effects of stigma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: 40.3 million in US meet SUD criteria, only 4.5% will seek mutual support (AA or PCP), 6.9 any type of treatment, 3% will complete a single episode of SUD treatment. </w:t>
      </w:r>
    </w:p>
    <w:p w14:paraId="426EB0DC" w14:textId="08B77C81" w:rsidR="0044245C" w:rsidRDefault="6D8A7FC5">
      <w:r w:rsidRPr="412B776D">
        <w:rPr>
          <w:rFonts w:ascii="Helvetica Neue" w:eastAsia="Helvetica Neue" w:hAnsi="Helvetica Neue" w:cs="Helvetica Neue"/>
          <w:b/>
          <w:bCs/>
          <w:color w:val="000000" w:themeColor="text1"/>
        </w:rPr>
        <w:t xml:space="preserve">Use person-centered, clinically accurate language to reduce implicit, explicit, and perceived stigma. 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A study by the Recovery Research Institute asked participants how they felt about a “substance abuser” and a “person with SUD” with identical patterns of use </w:t>
      </w:r>
    </w:p>
    <w:p w14:paraId="6A4DB7AE" w14:textId="212BFC87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Participants felt the “substance abuser” was more at moral/behavioral fault for condition, less likely to benefit from treatment, more likely to benefit from punishment</w:t>
      </w:r>
    </w:p>
    <w:p w14:paraId="3D71384B" w14:textId="2835BF11" w:rsidR="0044245C" w:rsidRDefault="6D8A7FC5">
      <w:r w:rsidRPr="412B776D">
        <w:rPr>
          <w:rFonts w:ascii="Helvetica Neue" w:eastAsia="Helvetica Neue" w:hAnsi="Helvetica Neue" w:cs="Helvetica Neue"/>
          <w:b/>
          <w:bCs/>
          <w:color w:val="000000" w:themeColor="text1"/>
        </w:rPr>
        <w:t>Harm reduction is at the core of all healthcare, not just SUD. If you have the ability to reduce harm and you don’t, you’re inflicting harm.</w:t>
      </w:r>
    </w:p>
    <w:p w14:paraId="1CC3496C" w14:textId="63490834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Evidence-based harm reduction </w:t>
      </w: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strategies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: </w:t>
      </w:r>
    </w:p>
    <w:p w14:paraId="4AC2F763" w14:textId="6C94F92F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Naloxone reduces OD deaths, represents a significant decrease in overall societal cost</w:t>
      </w:r>
    </w:p>
    <w:p w14:paraId="51DB8266" w14:textId="18BF5EF7" w:rsidR="0044245C" w:rsidRDefault="008305E8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1155CC"/>
        </w:rPr>
      </w:pPr>
      <w:hyperlink r:id="rId8">
        <w:r w:rsidR="6D8A7FC5" w:rsidRPr="412B776D">
          <w:rPr>
            <w:rStyle w:val="Hyperlink"/>
            <w:rFonts w:ascii="Helvetica Neue" w:eastAsia="Helvetica Neue" w:hAnsi="Helvetica Neue" w:cs="Helvetica Neue"/>
          </w:rPr>
          <w:t xml:space="preserve">CDC recommendations re: provision of naloxone </w:t>
        </w:r>
      </w:hyperlink>
    </w:p>
    <w:p w14:paraId="6C7B5D73" w14:textId="1A3D1ACA" w:rsidR="0044245C" w:rsidRDefault="008305E8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hyperlink r:id="rId9">
        <w:r w:rsidR="6D8A7FC5" w:rsidRPr="412B776D">
          <w:rPr>
            <w:rStyle w:val="Hyperlink"/>
            <w:rFonts w:ascii="Helvetica Neue" w:eastAsia="Helvetica Neue" w:hAnsi="Helvetica Neue" w:cs="Helvetica Neue"/>
          </w:rPr>
          <w:t>Fentanyl Test strips</w:t>
        </w:r>
      </w:hyperlink>
      <w:r w:rsidR="6D8A7FC5" w:rsidRPr="412B776D">
        <w:rPr>
          <w:rFonts w:ascii="Helvetica Neue" w:eastAsia="Helvetica Neue" w:hAnsi="Helvetica Neue" w:cs="Helvetica Neue"/>
          <w:color w:val="000000" w:themeColor="text1"/>
        </w:rPr>
        <w:t xml:space="preserve"> are easy to use, highly sensitive.</w:t>
      </w:r>
    </w:p>
    <w:p w14:paraId="76B076BA" w14:textId="70327FFD" w:rsidR="0044245C" w:rsidRDefault="008305E8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hyperlink r:id="rId10">
        <w:r w:rsidR="6D8A7FC5" w:rsidRPr="412B776D">
          <w:rPr>
            <w:rStyle w:val="Hyperlink"/>
            <w:rFonts w:ascii="Helvetica Neue" w:eastAsia="Helvetica Neue" w:hAnsi="Helvetica Neue" w:cs="Helvetica Neue"/>
          </w:rPr>
          <w:t>Syringe Service Programs</w:t>
        </w:r>
      </w:hyperlink>
      <w:r w:rsidR="6D8A7FC5" w:rsidRPr="412B776D">
        <w:rPr>
          <w:rFonts w:ascii="Helvetica Neue" w:eastAsia="Helvetica Neue" w:hAnsi="Helvetica Neue" w:cs="Helvetica Neue"/>
          <w:color w:val="000000" w:themeColor="text1"/>
        </w:rPr>
        <w:t xml:space="preserve"> (SSPs) reduce HIV/Hep C incidence by 50%</w:t>
      </w:r>
    </w:p>
    <w:p w14:paraId="04FB488C" w14:textId="4A03D4FF" w:rsidR="0044245C" w:rsidRDefault="6D8A7FC5" w:rsidP="412B776D">
      <w:pPr>
        <w:pStyle w:val="ListParagraph"/>
        <w:numPr>
          <w:ilvl w:val="1"/>
          <w:numId w:val="2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New users 5x more likely to enter SUD treatment, 3x more likely to stop using drugs</w:t>
      </w:r>
    </w:p>
    <w:p w14:paraId="25D50BD3" w14:textId="706F23BB" w:rsidR="0044245C" w:rsidRDefault="008305E8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hyperlink r:id="rId11" w:anchor=":~:text=Overdose%20Prevention%20Centers%3A%20An%20Essential%20Strategy%20to%20Address%20the%20Overdose%20Crisis,-Elizabeth%20A.&amp;text=In%202021%2C%20more%20than,or%20other%20stimulants%20increased%2034%25.">
        <w:r w:rsidR="6D8A7FC5" w:rsidRPr="412B776D">
          <w:rPr>
            <w:rStyle w:val="Hyperlink"/>
            <w:rFonts w:ascii="Helvetica Neue" w:eastAsia="Helvetica Neue" w:hAnsi="Helvetica Neue" w:cs="Helvetica Neue"/>
          </w:rPr>
          <w:t>Overdose Prevention Centers</w:t>
        </w:r>
      </w:hyperlink>
      <w:r w:rsidR="6D8A7FC5" w:rsidRPr="412B776D">
        <w:rPr>
          <w:rFonts w:ascii="Helvetica Neue" w:eastAsia="Helvetica Neue" w:hAnsi="Helvetica Neue" w:cs="Helvetica Neue"/>
          <w:color w:val="000000" w:themeColor="text1"/>
        </w:rPr>
        <w:t xml:space="preserve"> reduce deaths, cost-effective, reduce public drug use and litter. NOT associated with increased crime, drug trafficking, or initiation of drug use among people who didn’t previously use drugs.</w:t>
      </w:r>
    </w:p>
    <w:p w14:paraId="74E20D84" w14:textId="6523A9C9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Local leaders in harm reduction</w:t>
      </w:r>
    </w:p>
    <w:p w14:paraId="51B81A05" w14:textId="4E895E78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Prevention Point Pittsburgh</w:t>
      </w:r>
    </w:p>
    <w:p w14:paraId="40B37612" w14:textId="3223FBEE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Opioid Overdose Management: not a lot has changed in the last year (other than potency of fentanyl)</w:t>
      </w:r>
    </w:p>
    <w:p w14:paraId="1203EDA2" w14:textId="7776B075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There are no </w:t>
      </w: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NarCan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resistant opioids.</w:t>
      </w:r>
    </w:p>
    <w:p w14:paraId="311AB74F" w14:textId="057876AA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The point of Naloxone is breathing. </w:t>
      </w:r>
    </w:p>
    <w:p w14:paraId="297C5F6E" w14:textId="5E0CB02A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Management of stimulant toxicity (cocaine, amphetamine/methamphetamine, stimulants, synthetic cannabinoids</w:t>
      </w:r>
    </w:p>
    <w:p w14:paraId="0C7F732B" w14:textId="0B870660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Primary goal is sedation</w:t>
      </w:r>
    </w:p>
    <w:p w14:paraId="5EA276F6" w14:textId="395EE67E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lastRenderedPageBreak/>
        <w:t xml:space="preserve">MOUD: mortality reduction up to 50%, reduction in crime, improved social functioning, correction of neurobiological dysfunction that leads to relapse. </w:t>
      </w: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The benefits are so clear that not offering or discussing this is malpractice.</w:t>
      </w:r>
    </w:p>
    <w:p w14:paraId="60779552" w14:textId="53FA26CC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Initiation of medication treatment should not be delayed while completing full assessment and intake</w:t>
      </w:r>
    </w:p>
    <w:p w14:paraId="17A9D732" w14:textId="0DF8981D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Medication therapy should not be contingent upon participation in behavioral therapy</w:t>
      </w:r>
    </w:p>
    <w:p w14:paraId="3121E1BB" w14:textId="762AD30B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Both office-based and home buprenorphine induction are safe/effective</w:t>
      </w:r>
    </w:p>
    <w:p w14:paraId="499BBCB0" w14:textId="38D18940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Patients seeking addiction treatment 7x more likely to be engaged if they are seen on the same day compared to waiting 2+ days</w:t>
      </w:r>
    </w:p>
    <w:p w14:paraId="47BDDABD" w14:textId="706505B3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</w:t>
      </w:r>
    </w:p>
    <w:p w14:paraId="5CB7350F" w14:textId="71BF322F" w:rsidR="00707323" w:rsidRDefault="0044245C">
      <w:r>
        <w:br/>
      </w:r>
    </w:p>
    <w:p w14:paraId="4EF516DB" w14:textId="77777777" w:rsidR="00707323" w:rsidRDefault="00707323">
      <w: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412B776D" w14:paraId="073FCD1D" w14:textId="77777777" w:rsidTr="00707323">
        <w:trPr>
          <w:trHeight w:val="300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7B2132" w14:textId="76DBBB87" w:rsidR="412B776D" w:rsidRDefault="412B776D" w:rsidP="00F31CA5">
            <w:pPr>
              <w:pStyle w:val="Heading1"/>
            </w:pPr>
            <w:bookmarkStart w:id="4" w:name="_Toc117585985"/>
            <w:r w:rsidRPr="412B776D">
              <w:lastRenderedPageBreak/>
              <w:t>Individuals with a Dual Diagnosis</w:t>
            </w:r>
            <w:bookmarkEnd w:id="4"/>
            <w:r w:rsidRPr="412B776D">
              <w:t xml:space="preserve"> </w:t>
            </w:r>
            <w:r w:rsidR="003B2ECB">
              <w:t>(Co-Occurr</w:t>
            </w:r>
            <w:r w:rsidR="00265F65">
              <w:t>ing Disorders)</w:t>
            </w:r>
          </w:p>
          <w:p w14:paraId="7D21CE7F" w14:textId="1DC86CF9" w:rsidR="412B776D" w:rsidRDefault="412B776D">
            <w:r w:rsidRPr="412B776D">
              <w:rPr>
                <w:rFonts w:ascii="Helvetica Neue" w:eastAsia="Helvetica Neue" w:hAnsi="Helvetica Neue" w:cs="Helvetica Neue"/>
                <w:i/>
                <w:iCs/>
                <w:color w:val="000000" w:themeColor="text1"/>
              </w:rPr>
              <w:t>Hader Mansour, MD PhD</w:t>
            </w:r>
          </w:p>
        </w:tc>
      </w:tr>
    </w:tbl>
    <w:p w14:paraId="0CCD8F47" w14:textId="73E3DA72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Terminology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: </w:t>
      </w: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dual diagnosis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was first introduced in the 1980s. Recently, SAMSHA has transitioned towards </w:t>
      </w: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co-occurring disorders (COD)</w:t>
      </w:r>
    </w:p>
    <w:p w14:paraId="1601ABCC" w14:textId="44505F78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i/>
          <w:iCs/>
          <w:color w:val="000000" w:themeColor="text1"/>
        </w:rPr>
      </w:pP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Almost half of those with SUD have a co-</w:t>
      </w:r>
      <w:r w:rsidR="00265F65"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occurring</w:t>
      </w: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 xml:space="preserve"> disorder</w:t>
      </w:r>
    </w:p>
    <w:p w14:paraId="4236763D" w14:textId="65320430" w:rsidR="0044245C" w:rsidRDefault="6D8A7FC5">
      <w:p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Challenges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: difficult to diagnose, dealing with 2 different service systems, high utilization of time and resources, different approaches, denial </w:t>
      </w:r>
    </w:p>
    <w:p w14:paraId="4AD79754" w14:textId="5B0893FB" w:rsidR="003B2ECB" w:rsidRDefault="003B2ECB">
      <w:pPr>
        <w:rPr>
          <w:rFonts w:ascii="Helvetica Neue" w:eastAsia="Helvetica Neue" w:hAnsi="Helvetica Neue" w:cs="Helvetica Neue"/>
          <w:color w:val="000000" w:themeColor="text1"/>
        </w:rPr>
      </w:pPr>
      <w:r>
        <w:rPr>
          <w:rFonts w:ascii="Helvetica Neue" w:eastAsia="Helvetica Neue" w:hAnsi="Helvetica Neue" w:cs="Helvetica Neue"/>
          <w:color w:val="000000" w:themeColor="text1"/>
        </w:rPr>
        <w:t xml:space="preserve">Few patients receive </w:t>
      </w:r>
      <w:r w:rsidR="00265F65">
        <w:rPr>
          <w:rFonts w:ascii="Helvetica Neue" w:eastAsia="Helvetica Neue" w:hAnsi="Helvetica Neue" w:cs="Helvetica Neue"/>
          <w:color w:val="000000" w:themeColor="text1"/>
        </w:rPr>
        <w:t>complete</w:t>
      </w:r>
      <w:r>
        <w:rPr>
          <w:rFonts w:ascii="Helvetica Neue" w:eastAsia="Helvetica Neue" w:hAnsi="Helvetica Neue" w:cs="Helvetica Neue"/>
          <w:color w:val="000000" w:themeColor="text1"/>
        </w:rPr>
        <w:t xml:space="preserve"> treatment for both </w:t>
      </w:r>
      <w:r w:rsidR="00265F65">
        <w:rPr>
          <w:rFonts w:ascii="Helvetica Neue" w:eastAsia="Helvetica Neue" w:hAnsi="Helvetica Neue" w:cs="Helvetica Neue"/>
          <w:color w:val="000000" w:themeColor="text1"/>
        </w:rPr>
        <w:t>disorders</w:t>
      </w:r>
    </w:p>
    <w:p w14:paraId="5F6BE10D" w14:textId="3B946132" w:rsidR="00885C86" w:rsidRDefault="00885C86">
      <w:pPr>
        <w:rPr>
          <w:rFonts w:ascii="Helvetica Neue" w:eastAsia="Helvetica Neue" w:hAnsi="Helvetica Neue" w:cs="Helvetica Neue"/>
          <w:color w:val="000000" w:themeColor="text1"/>
        </w:rPr>
      </w:pPr>
      <w:r>
        <w:rPr>
          <w:rFonts w:ascii="Helvetica Neue" w:eastAsia="Helvetica Neue" w:hAnsi="Helvetica Neue" w:cs="Helvetica Neue"/>
          <w:color w:val="000000" w:themeColor="text1"/>
        </w:rPr>
        <w:t xml:space="preserve">Common Co-Occurring Disorders: </w:t>
      </w:r>
      <w:r w:rsidR="00672561">
        <w:rPr>
          <w:rFonts w:ascii="Helvetica Neue" w:eastAsia="Helvetica Neue" w:hAnsi="Helvetica Neue" w:cs="Helvetica Neue"/>
          <w:color w:val="000000" w:themeColor="text1"/>
        </w:rPr>
        <w:t>substance use disorder(s) with depression, anxiety disorder, bipolar disorder, PTSD, schizophrenia</w:t>
      </w:r>
    </w:p>
    <w:p w14:paraId="46617CE0" w14:textId="0687140B" w:rsidR="00C957A2" w:rsidRDefault="00C957A2">
      <w:r>
        <w:rPr>
          <w:rFonts w:ascii="Helvetica Neue" w:eastAsia="Helvetica Neue" w:hAnsi="Helvetica Neue" w:cs="Helvetica Neue"/>
          <w:color w:val="000000" w:themeColor="text1"/>
        </w:rPr>
        <w:t xml:space="preserve">Patient have increased risks: relapse, hospitalization, </w:t>
      </w:r>
      <w:r w:rsidR="004E684B">
        <w:rPr>
          <w:rFonts w:ascii="Helvetica Neue" w:eastAsia="Helvetica Neue" w:hAnsi="Helvetica Neue" w:cs="Helvetica Neue"/>
          <w:color w:val="000000" w:themeColor="text1"/>
        </w:rPr>
        <w:t>poor adherence, increased risk behaviors, homelessness, incarceration, risk of suicide</w:t>
      </w:r>
    </w:p>
    <w:p w14:paraId="49EF8530" w14:textId="592FDDC4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Substance-induced vs primary psychosis</w:t>
      </w:r>
    </w:p>
    <w:p w14:paraId="17AD1348" w14:textId="03D491DE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Primary psychosis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ha</w:t>
      </w:r>
      <w:r w:rsidR="008E510B">
        <w:rPr>
          <w:rFonts w:ascii="Helvetica Neue" w:eastAsia="Helvetica Neue" w:hAnsi="Helvetica Neue" w:cs="Helvetica Neue"/>
          <w:color w:val="000000" w:themeColor="text1"/>
        </w:rPr>
        <w:t>s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earlier age of onset</w:t>
      </w:r>
      <w:r w:rsidR="008E510B">
        <w:rPr>
          <w:rFonts w:ascii="Helvetica Neue" w:eastAsia="Helvetica Neue" w:hAnsi="Helvetica Neue" w:cs="Helvetica Neue"/>
          <w:color w:val="000000" w:themeColor="text1"/>
        </w:rPr>
        <w:t xml:space="preserve"> in general</w:t>
      </w:r>
    </w:p>
    <w:p w14:paraId="74AFD2C2" w14:textId="06AE3C0E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Substance-induced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psychosis have a weaker family history of psychosis, better degree of insight, fewer positive and negative symptoms, more depressive/anxiety symptoms and higher </w:t>
      </w: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higher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risk of developing of a primary psychotic illness </w:t>
      </w:r>
    </w:p>
    <w:p w14:paraId="29E9D789" w14:textId="0918590B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  <w:u w:val="single"/>
        </w:rPr>
        <w:t>Feigning/malingering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</w:t>
      </w: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Psychiatrists are reluctant to diagnose malingering for fear of being sued, assaulted, or wrong. However, if we wrongly diagnose a malingerer as being ill, they will have achieved their goal of evading legal consequences</w:t>
      </w:r>
    </w:p>
    <w:p w14:paraId="5BAC0200" w14:textId="22723826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Should be suspected if medicolegal context of representation, marked discrepancy between the individual’s claimed stress and objective findings, lack of cooperation </w:t>
      </w:r>
    </w:p>
    <w:p w14:paraId="01E27DC9" w14:textId="6D1B3807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Eagerly “thrust forward” their illness, or exaggerate symptoms. </w:t>
      </w:r>
    </w:p>
    <w:p w14:paraId="605ECD5A" w14:textId="5887F351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Reports AVH with no associated delusions, or evidence of preoccupation</w:t>
      </w:r>
    </w:p>
    <w:p w14:paraId="264FADC2" w14:textId="6DBBE015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Give opportunity to save face: asking them to “clarify inconsistencies” is more likely to be productive and safer for examiner than accusations of lying</w:t>
      </w:r>
    </w:p>
    <w:p w14:paraId="5B906C94" w14:textId="3902E940" w:rsidR="00C152E9" w:rsidRDefault="00C152E9" w:rsidP="00C152E9">
      <w:pPr>
        <w:ind w:left="360"/>
        <w:rPr>
          <w:rFonts w:ascii="Helvetica Neue" w:eastAsia="Helvetica Neue" w:hAnsi="Helvetica Neue" w:cs="Helvetica Neue"/>
          <w:color w:val="000000" w:themeColor="text1"/>
        </w:rPr>
      </w:pPr>
    </w:p>
    <w:p w14:paraId="3FBB1544" w14:textId="4F5E2FC4" w:rsidR="00C152E9" w:rsidRPr="00FE280C" w:rsidRDefault="00C152E9" w:rsidP="00C152E9">
      <w:pPr>
        <w:rPr>
          <w:rFonts w:ascii="Helvetica Neue" w:eastAsia="Helvetica Neue" w:hAnsi="Helvetica Neue" w:cs="Helvetica Neue"/>
          <w:color w:val="000000" w:themeColor="text1"/>
          <w:u w:val="single"/>
        </w:rPr>
      </w:pPr>
      <w:r w:rsidRPr="00FE280C">
        <w:rPr>
          <w:rFonts w:ascii="Helvetica Neue" w:eastAsia="Helvetica Neue" w:hAnsi="Helvetica Neue" w:cs="Helvetica Neue"/>
          <w:color w:val="000000" w:themeColor="text1"/>
          <w:u w:val="single"/>
        </w:rPr>
        <w:t>Gold Standard for Treatment of Co-Occurring Disorders: Integrated Model</w:t>
      </w:r>
    </w:p>
    <w:p w14:paraId="719E5667" w14:textId="77777777" w:rsidR="00FE280C" w:rsidRDefault="00FE280C">
      <w:pPr>
        <w:rPr>
          <w:rFonts w:ascii="Helvetica" w:hAnsi="Helvetica" w:cs="Helvetica"/>
        </w:rPr>
      </w:pPr>
      <w:r w:rsidRPr="00FE280C">
        <w:rPr>
          <w:rFonts w:ascii="Helvetica" w:hAnsi="Helvetica" w:cs="Helvetica"/>
        </w:rPr>
        <w:t>Integrated model addresses both mental disorder and SUD simultaneously using one team at the same facility</w:t>
      </w:r>
      <w:r>
        <w:rPr>
          <w:rFonts w:ascii="Helvetica" w:hAnsi="Helvetica" w:cs="Helvetica"/>
        </w:rPr>
        <w:t xml:space="preserve">. </w:t>
      </w:r>
    </w:p>
    <w:p w14:paraId="35CCDB5B" w14:textId="0B44B0E4" w:rsidR="00707323" w:rsidRPr="00FE280C" w:rsidRDefault="00FE280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Successful treatment is highly individualized</w:t>
      </w:r>
      <w:r w:rsidR="00842B32">
        <w:rPr>
          <w:rFonts w:ascii="Helvetica" w:hAnsi="Helvetica" w:cs="Helvetica"/>
        </w:rPr>
        <w:t xml:space="preserve">. Thus, successful treatment depends on developing a trusting, safe relationship with the patient so that they are engaged in their treatment and mutual goals can be </w:t>
      </w:r>
      <w:r w:rsidR="008305E8">
        <w:rPr>
          <w:rFonts w:ascii="Helvetica" w:hAnsi="Helvetica" w:cs="Helvetica"/>
        </w:rPr>
        <w:t xml:space="preserve">developed. </w:t>
      </w:r>
      <w:r w:rsidR="0044245C" w:rsidRPr="00FE280C">
        <w:rPr>
          <w:rFonts w:ascii="Helvetica" w:hAnsi="Helvetica" w:cs="Helvetica"/>
        </w:rPr>
        <w:br/>
      </w:r>
    </w:p>
    <w:p w14:paraId="746F7060" w14:textId="77777777" w:rsidR="00707323" w:rsidRDefault="00707323">
      <w: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412B776D" w14:paraId="018DE5CA" w14:textId="77777777" w:rsidTr="00707323">
        <w:trPr>
          <w:trHeight w:val="300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4B11DE" w14:textId="251A9D4F" w:rsidR="412B776D" w:rsidRDefault="412B776D" w:rsidP="00F31CA5">
            <w:pPr>
              <w:pStyle w:val="Heading1"/>
            </w:pPr>
            <w:bookmarkStart w:id="5" w:name="_Toc117585986"/>
            <w:r w:rsidRPr="412B776D">
              <w:lastRenderedPageBreak/>
              <w:t>Levels of Care for Addiction Medicine</w:t>
            </w:r>
            <w:bookmarkEnd w:id="5"/>
            <w:r w:rsidRPr="412B776D">
              <w:t xml:space="preserve"> </w:t>
            </w:r>
          </w:p>
          <w:p w14:paraId="1E70EBBC" w14:textId="522AE51F" w:rsidR="412B776D" w:rsidRDefault="412B776D">
            <w:r w:rsidRPr="412B776D">
              <w:rPr>
                <w:rFonts w:ascii="Helvetica Neue" w:eastAsia="Helvetica Neue" w:hAnsi="Helvetica Neue" w:cs="Helvetica Neue"/>
                <w:i/>
                <w:iCs/>
                <w:color w:val="000000" w:themeColor="text1"/>
              </w:rPr>
              <w:t>Justin Thiry LCSW, Kelly Moran BSN/RN, David Zimmerman BSN/RN</w:t>
            </w:r>
          </w:p>
        </w:tc>
      </w:tr>
    </w:tbl>
    <w:p w14:paraId="7E356004" w14:textId="1C8F863A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Pennsylvania Department of D&amp;A sets the licensing requirements for level of care and provides funding for programs like McKeesport’s Addiction Medicine unit.</w:t>
      </w:r>
    </w:p>
    <w:p w14:paraId="3DE4E61A" w14:textId="558B25D5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Placement for addiction medicine has very different criteria for admission and insurance. </w:t>
      </w: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WIth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the goal of not “overpromising and under delivering.”</w:t>
      </w:r>
    </w:p>
    <w:p w14:paraId="59FE04F6" w14:textId="6503ADC7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Inappropriate placements result in inadequate treatment, and readmission</w:t>
      </w:r>
    </w:p>
    <w:p w14:paraId="414364E2" w14:textId="79E9DD66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Transitioning from Medical Hospitalization to Addiction Treatment</w:t>
      </w:r>
    </w:p>
    <w:p w14:paraId="3AB173AD" w14:textId="517FEB56" w:rsidR="0044245C" w:rsidRDefault="6D8A7FC5" w:rsidP="412B776D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Does the patient want to go to SUD treatment?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This is all voluntary.</w:t>
      </w:r>
    </w:p>
    <w:p w14:paraId="3875FCA9" w14:textId="56763503" w:rsidR="0044245C" w:rsidRDefault="6D8A7FC5" w:rsidP="412B776D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What to include in a referral?</w:t>
      </w: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 Goal is to advocate for the patient’s admission/maximize the odds of their acceptance. Don’t add to the barriers keeping them out of treatment</w:t>
      </w:r>
    </w:p>
    <w:p w14:paraId="23CAE31F" w14:textId="4CE4EFF5" w:rsidR="0044245C" w:rsidRDefault="6D8A7FC5" w:rsidP="412B776D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 xml:space="preserve">Always be advocating. </w:t>
      </w:r>
      <w:r w:rsidRPr="412B776D">
        <w:rPr>
          <w:rFonts w:ascii="Helvetica Neue" w:eastAsia="Helvetica Neue" w:hAnsi="Helvetica Neue" w:cs="Helvetica Neue"/>
          <w:color w:val="000000" w:themeColor="text1"/>
        </w:rPr>
        <w:t>See your patient’s strengths, paint them in the best possible light</w:t>
      </w:r>
    </w:p>
    <w:p w14:paraId="3F0D6DD6" w14:textId="4930C0F3" w:rsidR="0044245C" w:rsidRDefault="6D8A7FC5" w:rsidP="412B776D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Be aware of funding from this very beginning of the process</w:t>
      </w:r>
    </w:p>
    <w:p w14:paraId="3A35286D" w14:textId="3D29F002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What to consider?</w:t>
      </w:r>
    </w:p>
    <w:p w14:paraId="6144F1C0" w14:textId="13DF35EB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Prohibitive chronic mental and physical health conditions</w:t>
      </w:r>
    </w:p>
    <w:p w14:paraId="2EEF907A" w14:textId="14376A26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Medications and MAT as a barrier for acceptance/transition</w:t>
      </w:r>
    </w:p>
    <w:p w14:paraId="76A90480" w14:textId="4D7B0CF4" w:rsidR="0044245C" w:rsidRDefault="6D8A7FC5" w:rsidP="412B776D">
      <w:pPr>
        <w:pStyle w:val="ListParagraph"/>
        <w:numPr>
          <w:ilvl w:val="1"/>
          <w:numId w:val="2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Starting a patient on suboxone or methadone before discharge: many residential treatment locations require that a patent be established with an external provider before admission</w:t>
      </w:r>
    </w:p>
    <w:p w14:paraId="54FBC5AD" w14:textId="20F6E578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Mandated treatment may be inconsistent with placement recommended through ASAM</w:t>
      </w:r>
    </w:p>
    <w:p w14:paraId="3E4E2D10" w14:textId="58DAC001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Logistics (lack of transportation, rural areas, </w:t>
      </w:r>
      <w:proofErr w:type="spellStart"/>
      <w:r w:rsidRPr="412B776D">
        <w:rPr>
          <w:rFonts w:ascii="Helvetica Neue" w:eastAsia="Helvetica Neue" w:hAnsi="Helvetica Neue" w:cs="Helvetica Neue"/>
          <w:color w:val="000000" w:themeColor="text1"/>
        </w:rPr>
        <w:t>etc</w:t>
      </w:r>
      <w:proofErr w:type="spellEnd"/>
      <w:r w:rsidRPr="412B776D">
        <w:rPr>
          <w:rFonts w:ascii="Helvetica Neue" w:eastAsia="Helvetica Neue" w:hAnsi="Helvetica Neue" w:cs="Helvetica Neue"/>
          <w:color w:val="000000" w:themeColor="text1"/>
        </w:rPr>
        <w:t>)</w:t>
      </w:r>
    </w:p>
    <w:p w14:paraId="53CB9488" w14:textId="19B29392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>Criteria for level of care is set by ASAM (American Society of Addiction Medicine)</w:t>
      </w:r>
    </w:p>
    <w:p w14:paraId="57C5B9A0" w14:textId="2E754DCD" w:rsidR="0044245C" w:rsidRDefault="6D8A7FC5">
      <w:r w:rsidRPr="412B776D">
        <w:rPr>
          <w:rFonts w:ascii="Helvetica Neue" w:eastAsia="Helvetica Neue" w:hAnsi="Helvetica Neue" w:cs="Helvetica Neue"/>
          <w:b/>
          <w:bCs/>
          <w:color w:val="000000" w:themeColor="text1"/>
        </w:rPr>
        <w:t>ASAM dimensions of assessment: (0-4)</w:t>
      </w:r>
    </w:p>
    <w:p w14:paraId="494EB966" w14:textId="71BD3183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Dimension 1: acute intoxication and/or withdrawal potential </w:t>
      </w:r>
    </w:p>
    <w:p w14:paraId="3C184F91" w14:textId="3E2C9859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Dimension 2: biomedical conditions and complications</w:t>
      </w:r>
    </w:p>
    <w:p w14:paraId="6C5E36B6" w14:textId="0C6F130A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Dimension 3: emotional, behavioral, or cognitive conditions and complications. </w:t>
      </w:r>
    </w:p>
    <w:p w14:paraId="56EF7DA1" w14:textId="5F9BC8E8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Dimension 4: readiness to change (based in motivational interviewing)</w:t>
      </w:r>
    </w:p>
    <w:p w14:paraId="33E03955" w14:textId="243D985E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Dimension 5: relapse, continued use or continued problem potential.  </w:t>
      </w:r>
    </w:p>
    <w:p w14:paraId="47C52DE8" w14:textId="1E531B20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Dimension 6: Recovery/living environment (safe return?)</w:t>
      </w:r>
    </w:p>
    <w:p w14:paraId="3BB7AEDD" w14:textId="2601DCC1" w:rsidR="0044245C" w:rsidRDefault="6D8A7FC5">
      <w:r w:rsidRPr="412B776D">
        <w:rPr>
          <w:rFonts w:ascii="Helvetica Neue" w:eastAsia="Helvetica Neue" w:hAnsi="Helvetica Neue" w:cs="Helvetica Neue"/>
          <w:i/>
          <w:iCs/>
          <w:color w:val="000000" w:themeColor="text1"/>
        </w:rPr>
        <w:t>Some funding sources require a risk level of 3 or greater before they will approve treatment</w:t>
      </w:r>
    </w:p>
    <w:p w14:paraId="4FDE1B96" w14:textId="42CBA418" w:rsidR="0044245C" w:rsidRDefault="6D8A7FC5"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On insurance and funding: </w:t>
      </w:r>
    </w:p>
    <w:p w14:paraId="70807804" w14:textId="40D6F367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Medicare (only covers hospital-based programs) vs Medicaid</w:t>
      </w:r>
    </w:p>
    <w:p w14:paraId="4A97E8D0" w14:textId="6A1155B9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Available county funding</w:t>
      </w:r>
    </w:p>
    <w:p w14:paraId="35DB956E" w14:textId="7ADD44D4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>Private insurance</w:t>
      </w:r>
    </w:p>
    <w:p w14:paraId="6E42397F" w14:textId="3345630F" w:rsidR="0044245C" w:rsidRDefault="6D8A7FC5" w:rsidP="412B776D">
      <w:pPr>
        <w:pStyle w:val="ListParagraph"/>
        <w:numPr>
          <w:ilvl w:val="0"/>
          <w:numId w:val="3"/>
        </w:numPr>
        <w:rPr>
          <w:rFonts w:ascii="Helvetica Neue" w:eastAsia="Helvetica Neue" w:hAnsi="Helvetica Neue" w:cs="Helvetica Neue"/>
          <w:color w:val="000000" w:themeColor="text1"/>
        </w:rPr>
      </w:pPr>
      <w:r w:rsidRPr="412B776D">
        <w:rPr>
          <w:rFonts w:ascii="Helvetica Neue" w:eastAsia="Helvetica Neue" w:hAnsi="Helvetica Neue" w:cs="Helvetica Neue"/>
          <w:color w:val="000000" w:themeColor="text1"/>
        </w:rPr>
        <w:t xml:space="preserve">Medical vs. behavioral health insurance: D&amp;A is covered under behavioral health. CCBHO (Allegheny, Erie, Blair counties) and Beacon Health (Westmoreland, Washington, Fayette, Beaver, Butler). In Allegheny County, we have ALDA funding for uninsured patients  </w:t>
      </w:r>
    </w:p>
    <w:sectPr w:rsidR="0044245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F7F2" w14:textId="77777777" w:rsidR="00707323" w:rsidRDefault="00707323" w:rsidP="00707323">
      <w:pPr>
        <w:spacing w:after="0" w:line="240" w:lineRule="auto"/>
      </w:pPr>
      <w:r>
        <w:separator/>
      </w:r>
    </w:p>
  </w:endnote>
  <w:endnote w:type="continuationSeparator" w:id="0">
    <w:p w14:paraId="397C01CE" w14:textId="77777777" w:rsidR="00707323" w:rsidRDefault="00707323" w:rsidP="0070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B171" w14:textId="77777777" w:rsidR="00707323" w:rsidRDefault="00707323" w:rsidP="00707323">
      <w:pPr>
        <w:spacing w:after="0" w:line="240" w:lineRule="auto"/>
      </w:pPr>
      <w:r>
        <w:separator/>
      </w:r>
    </w:p>
  </w:footnote>
  <w:footnote w:type="continuationSeparator" w:id="0">
    <w:p w14:paraId="27E31ACD" w14:textId="77777777" w:rsidR="00707323" w:rsidRDefault="00707323" w:rsidP="0070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 w:cs="Helvetica"/>
      </w:rPr>
      <w:id w:val="-519397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68A9F7" w14:textId="5D005339" w:rsidR="00707323" w:rsidRPr="00707323" w:rsidRDefault="00707323">
        <w:pPr>
          <w:pStyle w:val="Header"/>
          <w:jc w:val="right"/>
          <w:rPr>
            <w:rFonts w:ascii="Helvetica" w:hAnsi="Helvetica" w:cs="Helvetica"/>
          </w:rPr>
        </w:pPr>
        <w:r w:rsidRPr="00707323">
          <w:rPr>
            <w:rFonts w:ascii="Helvetica" w:hAnsi="Helvetica" w:cs="Helvetica"/>
          </w:rPr>
          <w:fldChar w:fldCharType="begin"/>
        </w:r>
        <w:r w:rsidRPr="00707323">
          <w:rPr>
            <w:rFonts w:ascii="Helvetica" w:hAnsi="Helvetica" w:cs="Helvetica"/>
          </w:rPr>
          <w:instrText xml:space="preserve"> PAGE   \* MERGEFORMAT </w:instrText>
        </w:r>
        <w:r w:rsidRPr="00707323">
          <w:rPr>
            <w:rFonts w:ascii="Helvetica" w:hAnsi="Helvetica" w:cs="Helvetica"/>
          </w:rPr>
          <w:fldChar w:fldCharType="separate"/>
        </w:r>
        <w:r w:rsidRPr="00707323">
          <w:rPr>
            <w:rFonts w:ascii="Helvetica" w:hAnsi="Helvetica" w:cs="Helvetica"/>
            <w:noProof/>
          </w:rPr>
          <w:t>2</w:t>
        </w:r>
        <w:r w:rsidRPr="00707323">
          <w:rPr>
            <w:rFonts w:ascii="Helvetica" w:hAnsi="Helvetica" w:cs="Helvetica"/>
            <w:noProof/>
          </w:rPr>
          <w:fldChar w:fldCharType="end"/>
        </w:r>
      </w:p>
    </w:sdtContent>
  </w:sdt>
  <w:p w14:paraId="33FE9F51" w14:textId="77777777" w:rsidR="00707323" w:rsidRDefault="00707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95B8"/>
    <w:multiLevelType w:val="hybridMultilevel"/>
    <w:tmpl w:val="F74CB170"/>
    <w:lvl w:ilvl="0" w:tplc="A91E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A8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EB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00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6B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6A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04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89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0D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BDA33"/>
    <w:multiLevelType w:val="hybridMultilevel"/>
    <w:tmpl w:val="43E89726"/>
    <w:lvl w:ilvl="0" w:tplc="1A84BD0E">
      <w:start w:val="1"/>
      <w:numFmt w:val="decimal"/>
      <w:lvlText w:val="%1."/>
      <w:lvlJc w:val="left"/>
      <w:pPr>
        <w:ind w:left="720" w:hanging="360"/>
      </w:pPr>
    </w:lvl>
    <w:lvl w:ilvl="1" w:tplc="7A28AF3C">
      <w:start w:val="1"/>
      <w:numFmt w:val="lowerLetter"/>
      <w:lvlText w:val="%2."/>
      <w:lvlJc w:val="left"/>
      <w:pPr>
        <w:ind w:left="1440" w:hanging="360"/>
      </w:pPr>
    </w:lvl>
    <w:lvl w:ilvl="2" w:tplc="0D32BC92">
      <w:start w:val="1"/>
      <w:numFmt w:val="lowerRoman"/>
      <w:lvlText w:val="%3."/>
      <w:lvlJc w:val="right"/>
      <w:pPr>
        <w:ind w:left="2160" w:hanging="180"/>
      </w:pPr>
    </w:lvl>
    <w:lvl w:ilvl="3" w:tplc="ABDCA520">
      <w:start w:val="1"/>
      <w:numFmt w:val="decimal"/>
      <w:lvlText w:val="%4."/>
      <w:lvlJc w:val="left"/>
      <w:pPr>
        <w:ind w:left="2880" w:hanging="360"/>
      </w:pPr>
    </w:lvl>
    <w:lvl w:ilvl="4" w:tplc="61509C58">
      <w:start w:val="1"/>
      <w:numFmt w:val="lowerLetter"/>
      <w:lvlText w:val="%5."/>
      <w:lvlJc w:val="left"/>
      <w:pPr>
        <w:ind w:left="3600" w:hanging="360"/>
      </w:pPr>
    </w:lvl>
    <w:lvl w:ilvl="5" w:tplc="74487C7A">
      <w:start w:val="1"/>
      <w:numFmt w:val="lowerRoman"/>
      <w:lvlText w:val="%6."/>
      <w:lvlJc w:val="right"/>
      <w:pPr>
        <w:ind w:left="4320" w:hanging="180"/>
      </w:pPr>
    </w:lvl>
    <w:lvl w:ilvl="6" w:tplc="D8605790">
      <w:start w:val="1"/>
      <w:numFmt w:val="decimal"/>
      <w:lvlText w:val="%7."/>
      <w:lvlJc w:val="left"/>
      <w:pPr>
        <w:ind w:left="5040" w:hanging="360"/>
      </w:pPr>
    </w:lvl>
    <w:lvl w:ilvl="7" w:tplc="98B6F4C4">
      <w:start w:val="1"/>
      <w:numFmt w:val="lowerLetter"/>
      <w:lvlText w:val="%8."/>
      <w:lvlJc w:val="left"/>
      <w:pPr>
        <w:ind w:left="5760" w:hanging="360"/>
      </w:pPr>
    </w:lvl>
    <w:lvl w:ilvl="8" w:tplc="AE5683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78235"/>
    <w:multiLevelType w:val="hybridMultilevel"/>
    <w:tmpl w:val="A36A9BEA"/>
    <w:lvl w:ilvl="0" w:tplc="F15E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6F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DC9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46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6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A6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CB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C1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6D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418769">
    <w:abstractNumId w:val="1"/>
  </w:num>
  <w:num w:numId="2" w16cid:durableId="652833522">
    <w:abstractNumId w:val="2"/>
  </w:num>
  <w:num w:numId="3" w16cid:durableId="141774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253F6D"/>
    <w:rsid w:val="002546EB"/>
    <w:rsid w:val="00265F65"/>
    <w:rsid w:val="00370AEE"/>
    <w:rsid w:val="003B1B59"/>
    <w:rsid w:val="003B2ECB"/>
    <w:rsid w:val="0044245C"/>
    <w:rsid w:val="004D57FF"/>
    <w:rsid w:val="004E684B"/>
    <w:rsid w:val="00561890"/>
    <w:rsid w:val="00672561"/>
    <w:rsid w:val="00707323"/>
    <w:rsid w:val="008305E8"/>
    <w:rsid w:val="00842B32"/>
    <w:rsid w:val="00885C86"/>
    <w:rsid w:val="008E510B"/>
    <w:rsid w:val="00B70BE3"/>
    <w:rsid w:val="00BA65CD"/>
    <w:rsid w:val="00BB7ADC"/>
    <w:rsid w:val="00C152E9"/>
    <w:rsid w:val="00C957A2"/>
    <w:rsid w:val="00ED77C6"/>
    <w:rsid w:val="00F31CA5"/>
    <w:rsid w:val="00FE280C"/>
    <w:rsid w:val="0FA961C1"/>
    <w:rsid w:val="3405ED7B"/>
    <w:rsid w:val="412B776D"/>
    <w:rsid w:val="5744E72F"/>
    <w:rsid w:val="59253F6D"/>
    <w:rsid w:val="5F5FA019"/>
    <w:rsid w:val="64319516"/>
    <w:rsid w:val="6CCDBA26"/>
    <w:rsid w:val="6D8A7FC5"/>
    <w:rsid w:val="75C4238B"/>
    <w:rsid w:val="78FBC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3F6D"/>
  <w15:chartTrackingRefBased/>
  <w15:docId w15:val="{83C7F903-4CA7-4838-8170-1D486870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323"/>
  </w:style>
  <w:style w:type="paragraph" w:styleId="Footer">
    <w:name w:val="footer"/>
    <w:basedOn w:val="Normal"/>
    <w:link w:val="FooterChar"/>
    <w:uiPriority w:val="99"/>
    <w:unhideWhenUsed/>
    <w:rsid w:val="00707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323"/>
  </w:style>
  <w:style w:type="character" w:customStyle="1" w:styleId="Heading1Char">
    <w:name w:val="Heading 1 Char"/>
    <w:basedOn w:val="DefaultParagraphFont"/>
    <w:link w:val="Heading1"/>
    <w:uiPriority w:val="9"/>
    <w:rsid w:val="00F31C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89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618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drugoverdose/pdf/Guidelines_At-A-Glance-50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manetwork.com/journals/jamanetworkopen/fullarticle/27943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gov/ssp/syringe-services-programs-factshe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ph.ca.gov/Programs/CID/DOA/CDPH%20Document%20Library/Fact_Sheet_Fentanyl_Testing_Approved_AD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13EC-0058-48F4-B119-728D1ED5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Philipps, Whitney L</dc:creator>
  <cp:keywords/>
  <dc:description/>
  <cp:lastModifiedBy>Harvey, Todd W</cp:lastModifiedBy>
  <cp:revision>23</cp:revision>
  <dcterms:created xsi:type="dcterms:W3CDTF">2022-10-18T16:51:00Z</dcterms:created>
  <dcterms:modified xsi:type="dcterms:W3CDTF">2022-10-25T14:33:00Z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2022-10-18T16:51:51Z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28b18f9a-b877-43d8-92da-ee6d16fb93bc</vt:lpwstr>
  </property>
  <property fmtid="{D5CDD505-2E9C-101B-9397-08002B2CF9AE}" pid="8" name="MSIP_Label_5e4b1be8-281e-475d-98b0-21c3457e5a46_ContentBits">
    <vt:lpwstr>0</vt:lpwstr>
  </property>
</Properties>
</file>