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828D" w14:textId="77777777" w:rsidR="00EE020D" w:rsidRPr="003D6248" w:rsidRDefault="00EE020D" w:rsidP="003D6248">
      <w:pPr>
        <w:spacing w:after="0"/>
        <w:rPr>
          <w:b/>
          <w:bCs/>
        </w:rPr>
      </w:pPr>
      <w:r w:rsidRPr="003D6248">
        <w:rPr>
          <w:b/>
          <w:bCs/>
        </w:rPr>
        <w:t>Title</w:t>
      </w:r>
    </w:p>
    <w:p w14:paraId="12623406" w14:textId="4A3A226F" w:rsidR="005029BC" w:rsidRDefault="00EE020D" w:rsidP="003D6248">
      <w:pPr>
        <w:spacing w:after="0"/>
      </w:pPr>
      <w:r w:rsidRPr="00EE020D">
        <w:t>The Gift of Jab: SARS-CoV-2 Vaccination and Long-Acting Monoclonal Antibody Use in Solid Organ Transplantation</w:t>
      </w:r>
    </w:p>
    <w:p w14:paraId="3347E6A6" w14:textId="77777777" w:rsidR="003D6248" w:rsidRDefault="003D6248" w:rsidP="003D6248">
      <w:pPr>
        <w:spacing w:after="0"/>
      </w:pPr>
    </w:p>
    <w:p w14:paraId="76537A00" w14:textId="77777777" w:rsidR="003D6248" w:rsidRDefault="00EE020D" w:rsidP="003D6248">
      <w:pPr>
        <w:spacing w:after="0"/>
        <w:rPr>
          <w:b/>
          <w:bCs/>
        </w:rPr>
      </w:pPr>
      <w:r w:rsidRPr="003D6248">
        <w:rPr>
          <w:b/>
          <w:bCs/>
        </w:rPr>
        <w:t>Presenter</w:t>
      </w:r>
    </w:p>
    <w:p w14:paraId="61937F85" w14:textId="77777777" w:rsidR="003D6248" w:rsidRDefault="00EE020D" w:rsidP="003D6248">
      <w:pPr>
        <w:spacing w:after="0"/>
      </w:pPr>
      <w:r>
        <w:t>Uzoamaka Uwechia, PharmD</w:t>
      </w:r>
    </w:p>
    <w:p w14:paraId="569E9167" w14:textId="5B518621" w:rsidR="00EE020D" w:rsidRDefault="00EE020D" w:rsidP="003D6248">
      <w:pPr>
        <w:spacing w:after="0"/>
      </w:pPr>
      <w:r>
        <w:t>PGY-2 Solid Organ Transplantation Pharmacy Resident</w:t>
      </w:r>
    </w:p>
    <w:p w14:paraId="1A4BEF32" w14:textId="3F5AD126" w:rsidR="00EE020D" w:rsidRDefault="00EE020D" w:rsidP="003D6248">
      <w:pPr>
        <w:spacing w:after="0"/>
      </w:pPr>
      <w:r>
        <w:t>UPMC Presbyterian</w:t>
      </w:r>
    </w:p>
    <w:p w14:paraId="1A167D38" w14:textId="6BCE7BB9" w:rsidR="00EE020D" w:rsidRDefault="00EE020D" w:rsidP="00EE020D">
      <w:pPr>
        <w:spacing w:after="0"/>
      </w:pPr>
    </w:p>
    <w:p w14:paraId="6B6D52C1" w14:textId="45734B25" w:rsidR="00EE020D" w:rsidRPr="003D6248" w:rsidRDefault="00EE020D" w:rsidP="00EE020D">
      <w:pPr>
        <w:spacing w:after="0"/>
        <w:rPr>
          <w:b/>
          <w:bCs/>
        </w:rPr>
      </w:pPr>
      <w:r w:rsidRPr="003D6248">
        <w:rPr>
          <w:b/>
          <w:bCs/>
        </w:rPr>
        <w:t>Date</w:t>
      </w:r>
    </w:p>
    <w:p w14:paraId="7316ACBF" w14:textId="130FB1A4" w:rsidR="00EE020D" w:rsidRDefault="00EE020D" w:rsidP="00EE020D">
      <w:pPr>
        <w:spacing w:after="0"/>
      </w:pPr>
      <w:r>
        <w:t>11/23/2022</w:t>
      </w:r>
    </w:p>
    <w:p w14:paraId="5C1E910E" w14:textId="1BAFB3EF" w:rsidR="00EE020D" w:rsidRDefault="00EE020D" w:rsidP="00EE020D">
      <w:pPr>
        <w:spacing w:after="0"/>
      </w:pPr>
    </w:p>
    <w:p w14:paraId="0EB256AF" w14:textId="1112F4B9" w:rsidR="00EE020D" w:rsidRPr="003D6248" w:rsidRDefault="00EE020D" w:rsidP="00EE020D">
      <w:pPr>
        <w:spacing w:after="0"/>
        <w:rPr>
          <w:b/>
          <w:bCs/>
        </w:rPr>
      </w:pPr>
      <w:r w:rsidRPr="003D6248">
        <w:rPr>
          <w:b/>
          <w:bCs/>
        </w:rPr>
        <w:t>Learning Objectives</w:t>
      </w:r>
    </w:p>
    <w:p w14:paraId="09B35E09" w14:textId="550896D5" w:rsidR="00EE020D" w:rsidRPr="00EE020D" w:rsidRDefault="00EE020D" w:rsidP="00EE020D">
      <w:pPr>
        <w:pStyle w:val="ListParagraph"/>
        <w:numPr>
          <w:ilvl w:val="0"/>
          <w:numId w:val="2"/>
        </w:numPr>
        <w:spacing w:after="0"/>
      </w:pPr>
      <w:r w:rsidRPr="00EE020D">
        <w:t>Describe the impact of SAR-CoV-2 infection after solid organ transplantation</w:t>
      </w:r>
    </w:p>
    <w:p w14:paraId="4D235DE5" w14:textId="77777777" w:rsidR="00EE020D" w:rsidRDefault="00EE020D" w:rsidP="00EE020D">
      <w:pPr>
        <w:numPr>
          <w:ilvl w:val="0"/>
          <w:numId w:val="2"/>
        </w:numPr>
        <w:spacing w:after="0"/>
      </w:pPr>
      <w:r w:rsidRPr="00EE020D">
        <w:t>Discuss the efficacy of SARS-CoV-2 vaccinations and long-acting monoclonal antibodies against SARS-CoV-2 in transplant recipients</w:t>
      </w:r>
    </w:p>
    <w:p w14:paraId="1F43127C" w14:textId="69431256" w:rsidR="00EE020D" w:rsidRDefault="00EE020D" w:rsidP="00EE020D">
      <w:pPr>
        <w:numPr>
          <w:ilvl w:val="0"/>
          <w:numId w:val="2"/>
        </w:numPr>
        <w:spacing w:after="0"/>
      </w:pPr>
      <w:r w:rsidRPr="00EE020D">
        <w:t>Explain the argument for and against vaccine mandates for transplant programs</w:t>
      </w:r>
    </w:p>
    <w:p w14:paraId="18F8C6A8" w14:textId="77777777" w:rsidR="00EE020D" w:rsidRDefault="00EE020D" w:rsidP="00EE020D">
      <w:pPr>
        <w:spacing w:after="0"/>
      </w:pPr>
    </w:p>
    <w:p w14:paraId="492D0A88" w14:textId="2ACB03E3" w:rsidR="00EE020D" w:rsidRPr="003D6248" w:rsidRDefault="00EE020D" w:rsidP="00EE020D">
      <w:pPr>
        <w:spacing w:after="0"/>
        <w:rPr>
          <w:b/>
          <w:bCs/>
        </w:rPr>
      </w:pPr>
      <w:r w:rsidRPr="003D6248">
        <w:rPr>
          <w:b/>
          <w:bCs/>
        </w:rPr>
        <w:t>Abstract</w:t>
      </w:r>
    </w:p>
    <w:p w14:paraId="35F1A7A5" w14:textId="3C614EB6" w:rsidR="00EE020D" w:rsidRDefault="0071164B">
      <w:r>
        <w:t xml:space="preserve">Patients facing end stage organ </w:t>
      </w:r>
      <w:r w:rsidR="004F460B">
        <w:t>f</w:t>
      </w:r>
      <w:r w:rsidR="00FB06EC">
        <w:t>ailure</w:t>
      </w:r>
      <w:r w:rsidR="00EF4112">
        <w:t xml:space="preserve"> need replacement of the relevant organ </w:t>
      </w:r>
      <w:r w:rsidR="00497387">
        <w:t>to</w:t>
      </w:r>
      <w:r w:rsidR="00EF4112">
        <w:t xml:space="preserve"> surv</w:t>
      </w:r>
      <w:r w:rsidR="00C47042">
        <w:t>ive and/or increase their quality of life.</w:t>
      </w:r>
      <w:r w:rsidR="00497387">
        <w:t xml:space="preserve">  </w:t>
      </w:r>
      <w:proofErr w:type="gramStart"/>
      <w:r w:rsidR="00497387">
        <w:t>In</w:t>
      </w:r>
      <w:r w:rsidR="001D7D52">
        <w:t xml:space="preserve"> order to</w:t>
      </w:r>
      <w:proofErr w:type="gramEnd"/>
      <w:r w:rsidR="001D7D52">
        <w:t xml:space="preserve"> prevent the rejection </w:t>
      </w:r>
      <w:r w:rsidR="00B25312">
        <w:t xml:space="preserve">of these life sustaining </w:t>
      </w:r>
      <w:r w:rsidR="00E255F7">
        <w:t>grafts by the host</w:t>
      </w:r>
      <w:r w:rsidR="00B25312">
        <w:t xml:space="preserve">, chronic immunosuppression is </w:t>
      </w:r>
      <w:r w:rsidR="00DB3116">
        <w:t>required.</w:t>
      </w:r>
      <w:r w:rsidR="00A73183">
        <w:t xml:space="preserve">  This immunosuppression puts patients at an increased risk of infection and malignancy.</w:t>
      </w:r>
      <w:r w:rsidR="00C31BBD">
        <w:t xml:space="preserve">  While the balance between </w:t>
      </w:r>
      <w:r w:rsidR="00CC25E0">
        <w:t>risk</w:t>
      </w:r>
      <w:r w:rsidR="00850F97">
        <w:t xml:space="preserve">s of </w:t>
      </w:r>
      <w:r w:rsidR="00C31BBD">
        <w:t>immunosuppression and</w:t>
      </w:r>
      <w:r w:rsidR="00850F97">
        <w:t xml:space="preserve"> rejection has always been</w:t>
      </w:r>
      <w:r w:rsidR="007D1476">
        <w:t xml:space="preserve"> of concern, </w:t>
      </w:r>
      <w:r w:rsidR="0032563E">
        <w:t xml:space="preserve">the emergence of </w:t>
      </w:r>
      <w:r w:rsidR="002768F2">
        <w:t>the COVID-19 pandemic has</w:t>
      </w:r>
      <w:r w:rsidR="0010477E">
        <w:t xml:space="preserve"> drawn </w:t>
      </w:r>
      <w:r w:rsidR="00D61A87">
        <w:t>more attention to the risks of immunosuppression.</w:t>
      </w:r>
      <w:r w:rsidR="00A77C98">
        <w:t xml:space="preserve">  </w:t>
      </w:r>
      <w:r w:rsidR="0026707E">
        <w:t>The risk</w:t>
      </w:r>
      <w:r w:rsidR="00785BDF">
        <w:t xml:space="preserve"> of poor outcomes </w:t>
      </w:r>
      <w:r w:rsidR="003B7212">
        <w:t>after</w:t>
      </w:r>
      <w:r w:rsidR="00785BDF">
        <w:t xml:space="preserve"> </w:t>
      </w:r>
      <w:r w:rsidR="00785BDF" w:rsidRPr="00EE020D">
        <w:t>SAR-CoV-2 infection</w:t>
      </w:r>
      <w:r w:rsidR="003B7212">
        <w:t xml:space="preserve"> and </w:t>
      </w:r>
      <w:r w:rsidR="00691BF5">
        <w:t xml:space="preserve">the </w:t>
      </w:r>
      <w:r w:rsidR="003B7212">
        <w:t xml:space="preserve">efficacy of </w:t>
      </w:r>
      <w:r w:rsidR="00EE020D" w:rsidRPr="00EE020D">
        <w:t>SARS-CoV-2</w:t>
      </w:r>
      <w:r w:rsidR="00204658">
        <w:t xml:space="preserve"> vaccination in this patient population have been questioned.</w:t>
      </w:r>
      <w:r w:rsidR="007116DA">
        <w:t xml:space="preserve">  Furthermore, with the demand for </w:t>
      </w:r>
      <w:r w:rsidR="00D338D9">
        <w:t xml:space="preserve">organs being significantly larger than the supply can meet, </w:t>
      </w:r>
      <w:r w:rsidR="007C091D">
        <w:t>choosing candidates that show a high probability of post-transplant success</w:t>
      </w:r>
      <w:r w:rsidR="00F96927">
        <w:t xml:space="preserve"> is important.</w:t>
      </w:r>
      <w:r w:rsidR="006E4101">
        <w:t xml:space="preserve">  This begs the question, </w:t>
      </w:r>
      <w:r w:rsidR="00615819">
        <w:t xml:space="preserve">should </w:t>
      </w:r>
      <w:r w:rsidR="000E56E4">
        <w:t>transplant candidates that refuse vaccination</w:t>
      </w:r>
      <w:r w:rsidR="004632CF">
        <w:t xml:space="preserve">, therefore potentially putting themselves at risk for </w:t>
      </w:r>
      <w:r w:rsidR="00606A43">
        <w:t xml:space="preserve">poor outcomes in the setting of </w:t>
      </w:r>
      <w:r w:rsidR="00606A43" w:rsidRPr="00EE020D">
        <w:t>SAR-CoV-2 infection</w:t>
      </w:r>
      <w:r w:rsidR="00606A43">
        <w:t>, be eligible for transplantation?</w:t>
      </w:r>
    </w:p>
    <w:p w14:paraId="651AEDD0" w14:textId="77777777" w:rsidR="00EE020D" w:rsidRDefault="00EE020D"/>
    <w:p w14:paraId="3D86F0A5" w14:textId="12B92DB3" w:rsidR="00EE020D" w:rsidRPr="003D6248" w:rsidRDefault="00EE020D">
      <w:pPr>
        <w:rPr>
          <w:b/>
          <w:bCs/>
        </w:rPr>
      </w:pPr>
      <w:r w:rsidRPr="003D6248">
        <w:rPr>
          <w:b/>
          <w:bCs/>
        </w:rPr>
        <w:t>Questions</w:t>
      </w:r>
    </w:p>
    <w:p w14:paraId="10AA5EF0" w14:textId="75D93A90" w:rsidR="00EE020D" w:rsidRDefault="00EE020D" w:rsidP="00EE020D">
      <w:pPr>
        <w:pStyle w:val="ListParagraph"/>
        <w:numPr>
          <w:ilvl w:val="0"/>
          <w:numId w:val="3"/>
        </w:numPr>
      </w:pPr>
      <w:r>
        <w:t xml:space="preserve">Are solid organ transplant recipients </w:t>
      </w:r>
      <w:r w:rsidR="002F4416">
        <w:t>at a higher risk for severe COVID-19 than patients without comorbidities?</w:t>
      </w:r>
    </w:p>
    <w:p w14:paraId="29A89E93" w14:textId="6808D093" w:rsidR="002F4416" w:rsidRDefault="002F4416" w:rsidP="002F4416">
      <w:pPr>
        <w:pStyle w:val="ListParagraph"/>
        <w:numPr>
          <w:ilvl w:val="1"/>
          <w:numId w:val="3"/>
        </w:numPr>
      </w:pPr>
      <w:r>
        <w:t>No</w:t>
      </w:r>
    </w:p>
    <w:p w14:paraId="565C3E88" w14:textId="7699AF37" w:rsidR="002F4416" w:rsidRPr="003D104E" w:rsidRDefault="002F4416" w:rsidP="002F4416">
      <w:pPr>
        <w:pStyle w:val="ListParagraph"/>
        <w:numPr>
          <w:ilvl w:val="1"/>
          <w:numId w:val="3"/>
        </w:numPr>
      </w:pPr>
      <w:r w:rsidRPr="003D104E">
        <w:t>Yes</w:t>
      </w:r>
    </w:p>
    <w:p w14:paraId="00E3D04A" w14:textId="77777777" w:rsidR="002F4416" w:rsidRDefault="002F4416" w:rsidP="002F4416">
      <w:pPr>
        <w:pStyle w:val="ListParagraph"/>
        <w:ind w:left="1440"/>
      </w:pPr>
    </w:p>
    <w:p w14:paraId="6CB47405" w14:textId="63FCDDA2" w:rsidR="002F4416" w:rsidRDefault="002F4416" w:rsidP="002F4416">
      <w:pPr>
        <w:pStyle w:val="ListParagraph"/>
        <w:numPr>
          <w:ilvl w:val="0"/>
          <w:numId w:val="3"/>
        </w:numPr>
      </w:pPr>
      <w:r w:rsidRPr="002F4416">
        <w:t>Of the options below, which common medication in a SOT patient’s regimen demonstrated the greatest likelihood of lowering vaccine antibody response?</w:t>
      </w:r>
    </w:p>
    <w:p w14:paraId="763E5050" w14:textId="77777777" w:rsidR="002F4416" w:rsidRPr="002F4416" w:rsidRDefault="002F4416" w:rsidP="002F4416">
      <w:pPr>
        <w:pStyle w:val="ListParagraph"/>
        <w:numPr>
          <w:ilvl w:val="1"/>
          <w:numId w:val="3"/>
        </w:numPr>
      </w:pPr>
      <w:r w:rsidRPr="002F4416">
        <w:t>Tacrolimus</w:t>
      </w:r>
    </w:p>
    <w:p w14:paraId="4F9BF67C" w14:textId="77777777" w:rsidR="002F4416" w:rsidRPr="002F4416" w:rsidRDefault="002F4416" w:rsidP="002F4416">
      <w:pPr>
        <w:pStyle w:val="ListParagraph"/>
        <w:numPr>
          <w:ilvl w:val="1"/>
          <w:numId w:val="3"/>
        </w:numPr>
      </w:pPr>
      <w:r w:rsidRPr="002F4416">
        <w:t xml:space="preserve">Prednisone </w:t>
      </w:r>
    </w:p>
    <w:p w14:paraId="2D4BE2C4" w14:textId="77777777" w:rsidR="002F4416" w:rsidRPr="003D104E" w:rsidRDefault="002F4416" w:rsidP="002F4416">
      <w:pPr>
        <w:pStyle w:val="ListParagraph"/>
        <w:numPr>
          <w:ilvl w:val="1"/>
          <w:numId w:val="3"/>
        </w:numPr>
      </w:pPr>
      <w:r w:rsidRPr="003D104E">
        <w:t>Mycophenolate</w:t>
      </w:r>
    </w:p>
    <w:p w14:paraId="76CF7F1E" w14:textId="585D584A" w:rsidR="002F4416" w:rsidRDefault="002F4416" w:rsidP="002F4416">
      <w:pPr>
        <w:pStyle w:val="ListParagraph"/>
        <w:numPr>
          <w:ilvl w:val="1"/>
          <w:numId w:val="3"/>
        </w:numPr>
      </w:pPr>
      <w:r w:rsidRPr="002F4416">
        <w:t>Sirolimus</w:t>
      </w:r>
    </w:p>
    <w:p w14:paraId="1010F6D0" w14:textId="77777777" w:rsidR="002F4416" w:rsidRPr="002F4416" w:rsidRDefault="002F4416" w:rsidP="002F4416">
      <w:pPr>
        <w:pStyle w:val="ListParagraph"/>
        <w:ind w:left="1440"/>
      </w:pPr>
    </w:p>
    <w:p w14:paraId="39BFD462" w14:textId="599E6D21" w:rsidR="002F4416" w:rsidRDefault="002F4416" w:rsidP="00EE020D">
      <w:pPr>
        <w:pStyle w:val="ListParagraph"/>
        <w:numPr>
          <w:ilvl w:val="0"/>
          <w:numId w:val="3"/>
        </w:numPr>
      </w:pPr>
      <w:r>
        <w:t>What is an argument for vaccine mandates for solid organ transplant candidates prior to transplantation?</w:t>
      </w:r>
    </w:p>
    <w:p w14:paraId="2DCD6BB9" w14:textId="518E9E3D" w:rsidR="002F4416" w:rsidRPr="003D104E" w:rsidRDefault="002F4416" w:rsidP="002F4416">
      <w:pPr>
        <w:pStyle w:val="ListParagraph"/>
        <w:numPr>
          <w:ilvl w:val="1"/>
          <w:numId w:val="3"/>
        </w:numPr>
      </w:pPr>
      <w:r w:rsidRPr="003D104E">
        <w:t>Better vaccine response prior to transplantation</w:t>
      </w:r>
    </w:p>
    <w:p w14:paraId="6759651F" w14:textId="49C32FFA" w:rsidR="002F4416" w:rsidRDefault="002F4416" w:rsidP="002F4416">
      <w:pPr>
        <w:pStyle w:val="ListParagraph"/>
        <w:numPr>
          <w:ilvl w:val="1"/>
          <w:numId w:val="3"/>
        </w:numPr>
      </w:pPr>
      <w:proofErr w:type="spellStart"/>
      <w:r w:rsidRPr="002F4416">
        <w:t>Tixagevimab</w:t>
      </w:r>
      <w:proofErr w:type="spellEnd"/>
      <w:r w:rsidRPr="002F4416">
        <w:t>/</w:t>
      </w:r>
      <w:proofErr w:type="spellStart"/>
      <w:r w:rsidRPr="002F4416">
        <w:t>cilgavimab</w:t>
      </w:r>
      <w:proofErr w:type="spellEnd"/>
      <w:r>
        <w:t xml:space="preserve"> works against all variants of </w:t>
      </w:r>
      <w:r w:rsidRPr="00EE020D">
        <w:t>SAR-CoV-2</w:t>
      </w:r>
    </w:p>
    <w:p w14:paraId="60146B4D" w14:textId="54AF62ED" w:rsidR="002F4416" w:rsidRDefault="00B86B44" w:rsidP="002F4416">
      <w:pPr>
        <w:pStyle w:val="ListParagraph"/>
        <w:numPr>
          <w:ilvl w:val="1"/>
          <w:numId w:val="3"/>
        </w:numPr>
      </w:pPr>
      <w:r>
        <w:t>Patients that are v</w:t>
      </w:r>
      <w:r w:rsidR="002F4416">
        <w:t>accinat</w:t>
      </w:r>
      <w:r>
        <w:t>ed</w:t>
      </w:r>
      <w:r w:rsidR="002F4416">
        <w:t xml:space="preserve"> prior to transplantation </w:t>
      </w:r>
      <w:r>
        <w:t>do not need</w:t>
      </w:r>
      <w:r w:rsidR="002F4416">
        <w:t xml:space="preserve"> immunos</w:t>
      </w:r>
      <w:r>
        <w:t xml:space="preserve">uppression after transplantation to avoid allograft rejection </w:t>
      </w:r>
    </w:p>
    <w:p w14:paraId="10F2ACA1" w14:textId="77777777" w:rsidR="003D6248" w:rsidRDefault="003D6248">
      <w:pPr>
        <w:rPr>
          <w:b/>
          <w:bCs/>
        </w:rPr>
      </w:pPr>
    </w:p>
    <w:p w14:paraId="2F5050C3" w14:textId="0A91A850" w:rsidR="00EE020D" w:rsidRPr="003D6248" w:rsidRDefault="00EE020D">
      <w:pPr>
        <w:rPr>
          <w:b/>
          <w:bCs/>
        </w:rPr>
      </w:pPr>
      <w:r w:rsidRPr="003D6248">
        <w:rPr>
          <w:b/>
          <w:bCs/>
        </w:rPr>
        <w:t>References</w:t>
      </w:r>
    </w:p>
    <w:p w14:paraId="20CDB66D" w14:textId="77777777" w:rsidR="00EE020D" w:rsidRPr="00EE020D" w:rsidRDefault="00EE020D" w:rsidP="00EE020D">
      <w:pPr>
        <w:numPr>
          <w:ilvl w:val="0"/>
          <w:numId w:val="1"/>
        </w:numPr>
      </w:pPr>
      <w:r w:rsidRPr="00EE020D">
        <w:t xml:space="preserve">Bhat M, Usmani SE, </w:t>
      </w:r>
      <w:proofErr w:type="spellStart"/>
      <w:r w:rsidRPr="00EE020D">
        <w:t>Azhie</w:t>
      </w:r>
      <w:proofErr w:type="spellEnd"/>
      <w:r w:rsidRPr="00EE020D">
        <w:t xml:space="preserve"> A, Woo M. Metabolic Consequences of Solid Organ Transplantation. </w:t>
      </w:r>
      <w:proofErr w:type="spellStart"/>
      <w:r w:rsidRPr="00EE020D">
        <w:t>Endocr</w:t>
      </w:r>
      <w:proofErr w:type="spellEnd"/>
      <w:r w:rsidRPr="00EE020D">
        <w:t xml:space="preserve"> Rev. 2021 Mar 15;42(2):171-197. </w:t>
      </w:r>
    </w:p>
    <w:p w14:paraId="0EDC35EA" w14:textId="77777777" w:rsidR="00EE020D" w:rsidRPr="00EE020D" w:rsidRDefault="00EE020D" w:rsidP="00EE020D">
      <w:pPr>
        <w:numPr>
          <w:ilvl w:val="0"/>
          <w:numId w:val="1"/>
        </w:numPr>
      </w:pPr>
      <w:r w:rsidRPr="00EE020D">
        <w:t xml:space="preserve">Fu B, Xu X, Wei H. Why tocilizumab could be an effective treatment for severe COVID-19? J </w:t>
      </w:r>
      <w:proofErr w:type="spellStart"/>
      <w:r w:rsidRPr="00EE020D">
        <w:t>Transl</w:t>
      </w:r>
      <w:proofErr w:type="spellEnd"/>
      <w:r w:rsidRPr="00EE020D">
        <w:t xml:space="preserve"> Med. 2020 Apr 14;18(1):164. </w:t>
      </w:r>
      <w:proofErr w:type="spellStart"/>
      <w:r w:rsidRPr="00EE020D">
        <w:t>Fajgenbaum</w:t>
      </w:r>
      <w:proofErr w:type="spellEnd"/>
      <w:r w:rsidRPr="00EE020D">
        <w:t xml:space="preserve"> DC, June CH. Cytokine Storm. N </w:t>
      </w:r>
      <w:proofErr w:type="spellStart"/>
      <w:r w:rsidRPr="00EE020D">
        <w:t>Engl</w:t>
      </w:r>
      <w:proofErr w:type="spellEnd"/>
      <w:r w:rsidRPr="00EE020D">
        <w:t xml:space="preserve"> J Med. 2020 Dec 3;383(23):2255-2273. </w:t>
      </w:r>
    </w:p>
    <w:p w14:paraId="310CFBF8" w14:textId="77777777" w:rsidR="00EE020D" w:rsidRPr="00EE020D" w:rsidRDefault="00EE020D" w:rsidP="00EE020D">
      <w:pPr>
        <w:numPr>
          <w:ilvl w:val="0"/>
          <w:numId w:val="1"/>
        </w:numPr>
      </w:pPr>
      <w:proofErr w:type="spellStart"/>
      <w:r w:rsidRPr="00EE020D">
        <w:t>Kompaniyets</w:t>
      </w:r>
      <w:proofErr w:type="spellEnd"/>
      <w:r w:rsidRPr="00EE020D">
        <w:t xml:space="preserve"> L, Pennington AF, Goodman AB, Rosenblum HG, Belay B, Ko JY, </w:t>
      </w:r>
      <w:proofErr w:type="spellStart"/>
      <w:r w:rsidRPr="00EE020D">
        <w:t>Chevinsky</w:t>
      </w:r>
      <w:proofErr w:type="spellEnd"/>
      <w:r w:rsidRPr="00EE020D">
        <w:t xml:space="preserve"> JR, </w:t>
      </w:r>
      <w:proofErr w:type="spellStart"/>
      <w:r w:rsidRPr="00EE020D">
        <w:t>Schieber</w:t>
      </w:r>
      <w:proofErr w:type="spellEnd"/>
      <w:r w:rsidRPr="00EE020D">
        <w:t xml:space="preserve"> LZ, Summers AD, </w:t>
      </w:r>
      <w:proofErr w:type="spellStart"/>
      <w:r w:rsidRPr="00EE020D">
        <w:t>Lavery</w:t>
      </w:r>
      <w:proofErr w:type="spellEnd"/>
      <w:r w:rsidRPr="00EE020D">
        <w:t xml:space="preserve"> AM, Preston LE, Danielson ML, Cui Z, </w:t>
      </w:r>
      <w:proofErr w:type="spellStart"/>
      <w:r w:rsidRPr="00EE020D">
        <w:t>Namulanda</w:t>
      </w:r>
      <w:proofErr w:type="spellEnd"/>
      <w:r w:rsidRPr="00EE020D">
        <w:t xml:space="preserve"> G, Yusuf H, Mac Kenzie WR, Wong KK, </w:t>
      </w:r>
      <w:proofErr w:type="spellStart"/>
      <w:r w:rsidRPr="00EE020D">
        <w:t>Baggs</w:t>
      </w:r>
      <w:proofErr w:type="spellEnd"/>
      <w:r w:rsidRPr="00EE020D">
        <w:t xml:space="preserve"> J, Boehmer TK, </w:t>
      </w:r>
      <w:proofErr w:type="spellStart"/>
      <w:r w:rsidRPr="00EE020D">
        <w:t>Gundlapalli</w:t>
      </w:r>
      <w:proofErr w:type="spellEnd"/>
      <w:r w:rsidRPr="00EE020D">
        <w:t xml:space="preserve"> AV. Underlying Medical Conditions and Severe Illness Among 540,667 Adults Hospitalized With COVID-19, March 2020-March 2021. </w:t>
      </w:r>
      <w:proofErr w:type="spellStart"/>
      <w:r w:rsidRPr="00EE020D">
        <w:t>Prev</w:t>
      </w:r>
      <w:proofErr w:type="spellEnd"/>
      <w:r w:rsidRPr="00EE020D">
        <w:t xml:space="preserve"> Chronic Dis. 2021 Jul 1;</w:t>
      </w:r>
      <w:proofErr w:type="gramStart"/>
      <w:r w:rsidRPr="00EE020D">
        <w:t>18:E</w:t>
      </w:r>
      <w:proofErr w:type="gramEnd"/>
      <w:r w:rsidRPr="00EE020D">
        <w:t>66.</w:t>
      </w:r>
    </w:p>
    <w:p w14:paraId="5A2B2824" w14:textId="77777777" w:rsidR="00EE020D" w:rsidRPr="00EE020D" w:rsidRDefault="00EE020D" w:rsidP="00EE020D">
      <w:pPr>
        <w:numPr>
          <w:ilvl w:val="0"/>
          <w:numId w:val="1"/>
        </w:numPr>
      </w:pPr>
      <w:r w:rsidRPr="00EE020D">
        <w:t>Kates OS et al. UW COVID-19 SOT Study Team. Coronavirus Disease 2019 in Solid Organ Transplant: A Multicenter Cohort Study. Clin Infect Dis. 2021 Dec 6;73(11</w:t>
      </w:r>
      <w:proofErr w:type="gramStart"/>
      <w:r w:rsidRPr="00EE020D">
        <w:t>):e</w:t>
      </w:r>
      <w:proofErr w:type="gramEnd"/>
      <w:r w:rsidRPr="00EE020D">
        <w:t>4090-e4099.</w:t>
      </w:r>
    </w:p>
    <w:p w14:paraId="44AFDF1E" w14:textId="77777777" w:rsidR="00EE020D" w:rsidRPr="00EE020D" w:rsidRDefault="00EE020D" w:rsidP="00EE020D">
      <w:pPr>
        <w:numPr>
          <w:ilvl w:val="0"/>
          <w:numId w:val="1"/>
        </w:numPr>
      </w:pPr>
      <w:r w:rsidRPr="00EE020D">
        <w:t xml:space="preserve">Fisher AM, </w:t>
      </w:r>
      <w:proofErr w:type="spellStart"/>
      <w:r w:rsidRPr="00EE020D">
        <w:t>Schlauch</w:t>
      </w:r>
      <w:proofErr w:type="spellEnd"/>
      <w:r w:rsidRPr="00EE020D">
        <w:t xml:space="preserve"> D, </w:t>
      </w:r>
      <w:proofErr w:type="spellStart"/>
      <w:r w:rsidRPr="00EE020D">
        <w:t>Mulloy</w:t>
      </w:r>
      <w:proofErr w:type="spellEnd"/>
      <w:r w:rsidRPr="00EE020D">
        <w:t xml:space="preserve"> M, Dao A, </w:t>
      </w:r>
      <w:proofErr w:type="spellStart"/>
      <w:r w:rsidRPr="00EE020D">
        <w:t>Reyad</w:t>
      </w:r>
      <w:proofErr w:type="spellEnd"/>
      <w:r w:rsidRPr="00EE020D">
        <w:t xml:space="preserve"> AI, </w:t>
      </w:r>
      <w:proofErr w:type="spellStart"/>
      <w:r w:rsidRPr="00EE020D">
        <w:t>Correll</w:t>
      </w:r>
      <w:proofErr w:type="spellEnd"/>
      <w:r w:rsidRPr="00EE020D">
        <w:t xml:space="preserve"> M, </w:t>
      </w:r>
      <w:proofErr w:type="spellStart"/>
      <w:r w:rsidRPr="00EE020D">
        <w:t>Fromell</w:t>
      </w:r>
      <w:proofErr w:type="spellEnd"/>
      <w:r w:rsidRPr="00EE020D">
        <w:t xml:space="preserve"> GJ, Pittman J, Bingaman AW, </w:t>
      </w:r>
      <w:proofErr w:type="spellStart"/>
      <w:r w:rsidRPr="00EE020D">
        <w:t>Sankarapandian</w:t>
      </w:r>
      <w:proofErr w:type="spellEnd"/>
      <w:r w:rsidRPr="00EE020D">
        <w:t xml:space="preserve"> B, Allam SR. Outcomes of COVID-19 in hospitalized solid organ transplant recipients compared to a matched cohort of non-transplant patients at a national healthcare system in the United States. Clin Transplant. 2021 Apr;35(4</w:t>
      </w:r>
      <w:proofErr w:type="gramStart"/>
      <w:r w:rsidRPr="00EE020D">
        <w:t>):e</w:t>
      </w:r>
      <w:proofErr w:type="gramEnd"/>
      <w:r w:rsidRPr="00EE020D">
        <w:t>14216.</w:t>
      </w:r>
    </w:p>
    <w:p w14:paraId="2A0F6D46" w14:textId="77777777" w:rsidR="00EE020D" w:rsidRPr="00EE020D" w:rsidRDefault="00EE020D" w:rsidP="00EE020D">
      <w:pPr>
        <w:numPr>
          <w:ilvl w:val="0"/>
          <w:numId w:val="1"/>
        </w:numPr>
      </w:pPr>
      <w:r w:rsidRPr="00EE020D">
        <w:t xml:space="preserve">Kamp JC, Hinrichs JB, </w:t>
      </w:r>
      <w:proofErr w:type="spellStart"/>
      <w:r w:rsidRPr="00EE020D">
        <w:t>Fuge</w:t>
      </w:r>
      <w:proofErr w:type="spellEnd"/>
      <w:r w:rsidRPr="00EE020D">
        <w:t xml:space="preserve"> J, Ewen R, Gottlieb J. COVID-19 in lung transplant recipients-Risk prediction and outcomes. </w:t>
      </w:r>
      <w:proofErr w:type="spellStart"/>
      <w:r w:rsidRPr="00EE020D">
        <w:t>PLoS</w:t>
      </w:r>
      <w:proofErr w:type="spellEnd"/>
      <w:r w:rsidRPr="00EE020D">
        <w:t xml:space="preserve"> One. 2021 Oct 6;16(10</w:t>
      </w:r>
      <w:proofErr w:type="gramStart"/>
      <w:r w:rsidRPr="00EE020D">
        <w:t>):e</w:t>
      </w:r>
      <w:proofErr w:type="gramEnd"/>
      <w:r w:rsidRPr="00EE020D">
        <w:t>0257807.</w:t>
      </w:r>
    </w:p>
    <w:p w14:paraId="2CDFD512" w14:textId="77777777" w:rsidR="00EE020D" w:rsidRPr="00EE020D" w:rsidRDefault="00EE020D" w:rsidP="00EE020D">
      <w:pPr>
        <w:numPr>
          <w:ilvl w:val="0"/>
          <w:numId w:val="1"/>
        </w:numPr>
      </w:pPr>
      <w:proofErr w:type="spellStart"/>
      <w:r w:rsidRPr="00EE020D">
        <w:t>Chavarot</w:t>
      </w:r>
      <w:proofErr w:type="spellEnd"/>
      <w:r w:rsidRPr="00EE020D">
        <w:t xml:space="preserve"> N et al; Critical COVID-19 France Investigators. COVID-19 severity in kidney transplant recipients is </w:t>
      </w:r>
      <w:proofErr w:type="gramStart"/>
      <w:r w:rsidRPr="00EE020D">
        <w:t>similar to</w:t>
      </w:r>
      <w:proofErr w:type="gramEnd"/>
      <w:r w:rsidRPr="00EE020D">
        <w:t xml:space="preserve"> nontransplant patients with similar comorbidities. Am J Transplant. 2021 Mar;21(3):1285-1294.</w:t>
      </w:r>
    </w:p>
    <w:p w14:paraId="21FDE7B0" w14:textId="77777777" w:rsidR="00EE020D" w:rsidRPr="00EE020D" w:rsidRDefault="00EE020D" w:rsidP="00EE020D">
      <w:pPr>
        <w:numPr>
          <w:ilvl w:val="0"/>
          <w:numId w:val="1"/>
        </w:numPr>
      </w:pPr>
      <w:proofErr w:type="spellStart"/>
      <w:r w:rsidRPr="00EE020D">
        <w:t>Marinaki</w:t>
      </w:r>
      <w:proofErr w:type="spellEnd"/>
      <w:r w:rsidRPr="00EE020D">
        <w:t xml:space="preserve"> S, </w:t>
      </w:r>
      <w:proofErr w:type="spellStart"/>
      <w:r w:rsidRPr="00EE020D">
        <w:t>Adamopoulos</w:t>
      </w:r>
      <w:proofErr w:type="spellEnd"/>
      <w:r w:rsidRPr="00EE020D">
        <w:t xml:space="preserve"> S, </w:t>
      </w:r>
      <w:proofErr w:type="spellStart"/>
      <w:r w:rsidRPr="00EE020D">
        <w:t>Degiannis</w:t>
      </w:r>
      <w:proofErr w:type="spellEnd"/>
      <w:r w:rsidRPr="00EE020D">
        <w:t xml:space="preserve"> D, </w:t>
      </w:r>
      <w:r w:rsidRPr="00EE020D">
        <w:rPr>
          <w:i/>
          <w:iCs/>
        </w:rPr>
        <w:t>et al</w:t>
      </w:r>
      <w:r w:rsidRPr="00EE020D">
        <w:t>. Immunogenicity of SARS-CoV-2 BNT162b2 vaccine in solid organ transplant recipients. </w:t>
      </w:r>
      <w:r w:rsidRPr="00EE020D">
        <w:rPr>
          <w:i/>
          <w:iCs/>
        </w:rPr>
        <w:t>Am J Transplant</w:t>
      </w:r>
      <w:r w:rsidRPr="00EE020D">
        <w:t> 2021; </w:t>
      </w:r>
      <w:r w:rsidRPr="00EE020D">
        <w:rPr>
          <w:b/>
          <w:bCs/>
        </w:rPr>
        <w:t>21</w:t>
      </w:r>
      <w:r w:rsidRPr="00EE020D">
        <w:t>: 2913.</w:t>
      </w:r>
    </w:p>
    <w:p w14:paraId="24ADFDBE" w14:textId="77777777" w:rsidR="00EE020D" w:rsidRPr="00EE020D" w:rsidRDefault="00EE020D" w:rsidP="00EE020D">
      <w:pPr>
        <w:numPr>
          <w:ilvl w:val="0"/>
          <w:numId w:val="1"/>
        </w:numPr>
      </w:pPr>
      <w:proofErr w:type="spellStart"/>
      <w:r w:rsidRPr="00EE020D">
        <w:t>Chavarot</w:t>
      </w:r>
      <w:proofErr w:type="spellEnd"/>
      <w:r w:rsidRPr="00EE020D">
        <w:t xml:space="preserve"> N, Morel A, </w:t>
      </w:r>
      <w:proofErr w:type="spellStart"/>
      <w:r w:rsidRPr="00EE020D">
        <w:t>Leruez</w:t>
      </w:r>
      <w:proofErr w:type="spellEnd"/>
      <w:r w:rsidRPr="00EE020D">
        <w:t xml:space="preserve">-Ville M, </w:t>
      </w:r>
      <w:proofErr w:type="spellStart"/>
      <w:r w:rsidRPr="00EE020D">
        <w:t>Vilain</w:t>
      </w:r>
      <w:proofErr w:type="spellEnd"/>
      <w:r w:rsidRPr="00EE020D">
        <w:t xml:space="preserve"> E, </w:t>
      </w:r>
      <w:proofErr w:type="spellStart"/>
      <w:r w:rsidRPr="00EE020D">
        <w:t>Divard</w:t>
      </w:r>
      <w:proofErr w:type="spellEnd"/>
      <w:r w:rsidRPr="00EE020D">
        <w:t xml:space="preserve"> G, Burger C, </w:t>
      </w:r>
      <w:proofErr w:type="spellStart"/>
      <w:r w:rsidRPr="00EE020D">
        <w:t>Serris</w:t>
      </w:r>
      <w:proofErr w:type="spellEnd"/>
      <w:r w:rsidRPr="00EE020D">
        <w:t xml:space="preserve"> A, </w:t>
      </w:r>
      <w:proofErr w:type="spellStart"/>
      <w:r w:rsidRPr="00EE020D">
        <w:t>Sberro-Soussan</w:t>
      </w:r>
      <w:proofErr w:type="spellEnd"/>
      <w:r w:rsidRPr="00EE020D">
        <w:t xml:space="preserve"> R, Martinez F, </w:t>
      </w:r>
      <w:proofErr w:type="spellStart"/>
      <w:r w:rsidRPr="00EE020D">
        <w:t>Amrouche</w:t>
      </w:r>
      <w:proofErr w:type="spellEnd"/>
      <w:r w:rsidRPr="00EE020D">
        <w:t xml:space="preserve"> L, </w:t>
      </w:r>
      <w:proofErr w:type="spellStart"/>
      <w:r w:rsidRPr="00EE020D">
        <w:t>Bererhi</w:t>
      </w:r>
      <w:proofErr w:type="spellEnd"/>
      <w:r w:rsidRPr="00EE020D">
        <w:t xml:space="preserve"> L, </w:t>
      </w:r>
      <w:proofErr w:type="spellStart"/>
      <w:r w:rsidRPr="00EE020D">
        <w:t>Lanternier</w:t>
      </w:r>
      <w:proofErr w:type="spellEnd"/>
      <w:r w:rsidRPr="00EE020D">
        <w:t xml:space="preserve"> F, Legendre C, Zuber J, </w:t>
      </w:r>
      <w:proofErr w:type="spellStart"/>
      <w:r w:rsidRPr="00EE020D">
        <w:t>Anglicheau</w:t>
      </w:r>
      <w:proofErr w:type="spellEnd"/>
      <w:r w:rsidRPr="00EE020D">
        <w:t xml:space="preserve"> D, </w:t>
      </w:r>
      <w:proofErr w:type="spellStart"/>
      <w:r w:rsidRPr="00EE020D">
        <w:t>Scemla</w:t>
      </w:r>
      <w:proofErr w:type="spellEnd"/>
      <w:r w:rsidRPr="00EE020D">
        <w:t xml:space="preserve"> A. Weak antibody response to three doses of mRNA vaccine in kidney transplant recipients treated with </w:t>
      </w:r>
      <w:proofErr w:type="spellStart"/>
      <w:r w:rsidRPr="00EE020D">
        <w:t>belatacept</w:t>
      </w:r>
      <w:proofErr w:type="spellEnd"/>
      <w:r w:rsidRPr="00EE020D">
        <w:t>. Am J Transplant. 2021 Dec;21(12):4043-4051.</w:t>
      </w:r>
    </w:p>
    <w:p w14:paraId="41EC1B58" w14:textId="77777777" w:rsidR="00EE020D" w:rsidRPr="00EE020D" w:rsidRDefault="00EE020D" w:rsidP="00EE020D">
      <w:pPr>
        <w:numPr>
          <w:ilvl w:val="0"/>
          <w:numId w:val="1"/>
        </w:numPr>
      </w:pPr>
      <w:r w:rsidRPr="00EE020D">
        <w:lastRenderedPageBreak/>
        <w:t xml:space="preserve">Aslam S, Liu J, Sigler R, Syed RR, Tu XM, Little SJ, De </w:t>
      </w:r>
      <w:proofErr w:type="spellStart"/>
      <w:r w:rsidRPr="00EE020D">
        <w:t>Gruttola</w:t>
      </w:r>
      <w:proofErr w:type="spellEnd"/>
      <w:r w:rsidRPr="00EE020D">
        <w:t xml:space="preserve"> V. Coronavirus disease 2019 vaccination is protective of clinical disease in solid organ transplant recipients. </w:t>
      </w:r>
      <w:proofErr w:type="spellStart"/>
      <w:r w:rsidRPr="00EE020D">
        <w:t>Transpl</w:t>
      </w:r>
      <w:proofErr w:type="spellEnd"/>
      <w:r w:rsidRPr="00EE020D">
        <w:t xml:space="preserve"> Infect Dis. 2022 Apr;24(2</w:t>
      </w:r>
      <w:proofErr w:type="gramStart"/>
      <w:r w:rsidRPr="00EE020D">
        <w:t>):e</w:t>
      </w:r>
      <w:proofErr w:type="gramEnd"/>
      <w:r w:rsidRPr="00EE020D">
        <w:t>13788.</w:t>
      </w:r>
    </w:p>
    <w:p w14:paraId="19E1D716" w14:textId="77777777" w:rsidR="00EE020D" w:rsidRPr="00EE020D" w:rsidRDefault="00EE020D" w:rsidP="00EE020D">
      <w:pPr>
        <w:numPr>
          <w:ilvl w:val="0"/>
          <w:numId w:val="1"/>
        </w:numPr>
      </w:pPr>
      <w:r w:rsidRPr="00EE020D">
        <w:t xml:space="preserve">Aslam S, Adler E, </w:t>
      </w:r>
      <w:proofErr w:type="spellStart"/>
      <w:r w:rsidRPr="00EE020D">
        <w:t>Mekeel</w:t>
      </w:r>
      <w:proofErr w:type="spellEnd"/>
      <w:r w:rsidRPr="00EE020D">
        <w:t xml:space="preserve"> K, Little SJ. Clinical effectiveness of COVID-19 vaccination in solid organ transplant recipients. </w:t>
      </w:r>
      <w:proofErr w:type="spellStart"/>
      <w:r w:rsidRPr="00EE020D">
        <w:t>Transpl</w:t>
      </w:r>
      <w:proofErr w:type="spellEnd"/>
      <w:r w:rsidRPr="00EE020D">
        <w:t xml:space="preserve"> Infect Dis. 2021 Oct;23(5</w:t>
      </w:r>
      <w:proofErr w:type="gramStart"/>
      <w:r w:rsidRPr="00EE020D">
        <w:t>):e</w:t>
      </w:r>
      <w:proofErr w:type="gramEnd"/>
      <w:r w:rsidRPr="00EE020D">
        <w:t>13705.</w:t>
      </w:r>
    </w:p>
    <w:p w14:paraId="080531D9" w14:textId="77777777" w:rsidR="00EE020D" w:rsidRPr="00EE020D" w:rsidRDefault="00EE020D" w:rsidP="00EE020D">
      <w:pPr>
        <w:numPr>
          <w:ilvl w:val="0"/>
          <w:numId w:val="1"/>
        </w:numPr>
      </w:pPr>
      <w:r w:rsidRPr="00EE020D">
        <w:t xml:space="preserve">Al </w:t>
      </w:r>
      <w:proofErr w:type="spellStart"/>
      <w:r w:rsidRPr="00EE020D">
        <w:t>Jurdi</w:t>
      </w:r>
      <w:proofErr w:type="spellEnd"/>
      <w:r w:rsidRPr="00EE020D">
        <w:t xml:space="preserve"> A, Morena L, Cote M, Bethea E, </w:t>
      </w:r>
      <w:proofErr w:type="spellStart"/>
      <w:r w:rsidRPr="00EE020D">
        <w:t>Azzi</w:t>
      </w:r>
      <w:proofErr w:type="spellEnd"/>
      <w:r w:rsidRPr="00EE020D">
        <w:t xml:space="preserve"> J, </w:t>
      </w:r>
      <w:proofErr w:type="spellStart"/>
      <w:r w:rsidRPr="00EE020D">
        <w:t>Riella</w:t>
      </w:r>
      <w:proofErr w:type="spellEnd"/>
      <w:r w:rsidRPr="00EE020D">
        <w:t xml:space="preserve"> LV. </w:t>
      </w:r>
      <w:proofErr w:type="spellStart"/>
      <w:r w:rsidRPr="00EE020D">
        <w:t>Tixagevimab</w:t>
      </w:r>
      <w:proofErr w:type="spellEnd"/>
      <w:r w:rsidRPr="00EE020D">
        <w:t>/</w:t>
      </w:r>
      <w:proofErr w:type="spellStart"/>
      <w:r w:rsidRPr="00EE020D">
        <w:t>cilgavimab</w:t>
      </w:r>
      <w:proofErr w:type="spellEnd"/>
      <w:r w:rsidRPr="00EE020D">
        <w:t xml:space="preserve"> pre-exposure prophylaxis is associated with lower breakthrough infection risk in vaccinated solid organ transplant recipients during the omicron wave. Am J Transplant. 2022 Jun 21. </w:t>
      </w:r>
      <w:proofErr w:type="spellStart"/>
      <w:r w:rsidRPr="00EE020D">
        <w:t>doi</w:t>
      </w:r>
      <w:proofErr w:type="spellEnd"/>
      <w:r w:rsidRPr="00EE020D">
        <w:t xml:space="preserve">: 10.1111/ajt.17128. </w:t>
      </w:r>
      <w:proofErr w:type="spellStart"/>
      <w:r w:rsidRPr="00EE020D">
        <w:t>Epub</w:t>
      </w:r>
      <w:proofErr w:type="spellEnd"/>
      <w:r w:rsidRPr="00EE020D">
        <w:t xml:space="preserve"> ahead of print. PMID: 35727916.</w:t>
      </w:r>
    </w:p>
    <w:p w14:paraId="4A5616EA" w14:textId="77777777" w:rsidR="00EE020D" w:rsidRPr="00EE020D" w:rsidRDefault="00EE020D" w:rsidP="00EE020D">
      <w:pPr>
        <w:numPr>
          <w:ilvl w:val="0"/>
          <w:numId w:val="1"/>
        </w:numPr>
      </w:pPr>
      <w:r w:rsidRPr="00EE020D">
        <w:t>Haidar G et al. Prospective Evaluation of Coronavirus Disease 2019 (COVID-19) Vaccine Responses Across a Broad Spectrum of Immunocompromising Conditions: the COVID-19 Vaccination in the Immunocompromised Study (COVICS). Clin Infect Dis. 2022 Aug 24;75(1</w:t>
      </w:r>
      <w:proofErr w:type="gramStart"/>
      <w:r w:rsidRPr="00EE020D">
        <w:t>):e</w:t>
      </w:r>
      <w:proofErr w:type="gramEnd"/>
      <w:r w:rsidRPr="00EE020D">
        <w:t>630-e644.</w:t>
      </w:r>
    </w:p>
    <w:p w14:paraId="1D52FFE2" w14:textId="77777777" w:rsidR="00EE020D" w:rsidRDefault="00EE020D"/>
    <w:sectPr w:rsidR="00EE0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E3A"/>
    <w:multiLevelType w:val="hybridMultilevel"/>
    <w:tmpl w:val="F45E4EF4"/>
    <w:lvl w:ilvl="0" w:tplc="76D681A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76563AE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D6853B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77FC739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AC92C722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0A26998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EE8057E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50AC5CC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4942D704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16316"/>
    <w:multiLevelType w:val="hybridMultilevel"/>
    <w:tmpl w:val="FDB219BE"/>
    <w:lvl w:ilvl="0" w:tplc="0A444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DC5A2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85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C0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2D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2A8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02B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C2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1AB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964B17"/>
    <w:multiLevelType w:val="hybridMultilevel"/>
    <w:tmpl w:val="7286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F430D"/>
    <w:multiLevelType w:val="hybridMultilevel"/>
    <w:tmpl w:val="357E9602"/>
    <w:lvl w:ilvl="0" w:tplc="636EE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E65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65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CE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B82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EB4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C1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C20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5A79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3097437">
    <w:abstractNumId w:val="3"/>
  </w:num>
  <w:num w:numId="2" w16cid:durableId="815681418">
    <w:abstractNumId w:val="1"/>
  </w:num>
  <w:num w:numId="3" w16cid:durableId="1429617565">
    <w:abstractNumId w:val="2"/>
  </w:num>
  <w:num w:numId="4" w16cid:durableId="199583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0D"/>
    <w:rsid w:val="00076145"/>
    <w:rsid w:val="000B7352"/>
    <w:rsid w:val="000E56E4"/>
    <w:rsid w:val="0010477E"/>
    <w:rsid w:val="001D7D52"/>
    <w:rsid w:val="00204658"/>
    <w:rsid w:val="00252B42"/>
    <w:rsid w:val="0026707E"/>
    <w:rsid w:val="002768F2"/>
    <w:rsid w:val="002F4416"/>
    <w:rsid w:val="0032563E"/>
    <w:rsid w:val="003B7212"/>
    <w:rsid w:val="003D104E"/>
    <w:rsid w:val="003D6248"/>
    <w:rsid w:val="004632CF"/>
    <w:rsid w:val="00497387"/>
    <w:rsid w:val="004F460B"/>
    <w:rsid w:val="005029BC"/>
    <w:rsid w:val="00606A43"/>
    <w:rsid w:val="00615819"/>
    <w:rsid w:val="00691BF5"/>
    <w:rsid w:val="006E4101"/>
    <w:rsid w:val="007103FE"/>
    <w:rsid w:val="0071164B"/>
    <w:rsid w:val="007116DA"/>
    <w:rsid w:val="00711D39"/>
    <w:rsid w:val="00760301"/>
    <w:rsid w:val="00785BDF"/>
    <w:rsid w:val="007C091D"/>
    <w:rsid w:val="007D1476"/>
    <w:rsid w:val="00850F97"/>
    <w:rsid w:val="00A73183"/>
    <w:rsid w:val="00A77C98"/>
    <w:rsid w:val="00B25312"/>
    <w:rsid w:val="00B5160D"/>
    <w:rsid w:val="00B86B44"/>
    <w:rsid w:val="00C31BBD"/>
    <w:rsid w:val="00C47042"/>
    <w:rsid w:val="00CC25E0"/>
    <w:rsid w:val="00D338D9"/>
    <w:rsid w:val="00D61A87"/>
    <w:rsid w:val="00DB3116"/>
    <w:rsid w:val="00DD2B2A"/>
    <w:rsid w:val="00E255F7"/>
    <w:rsid w:val="00EE020D"/>
    <w:rsid w:val="00EF4112"/>
    <w:rsid w:val="00F96927"/>
    <w:rsid w:val="00F97EBF"/>
    <w:rsid w:val="00FB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8415E"/>
  <w15:chartTrackingRefBased/>
  <w15:docId w15:val="{ABD19ED9-39CE-4BB2-83DD-9F0C90B4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63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4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2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86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52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2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2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1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8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0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5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5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3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3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3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9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4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0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Uwechia, Uzoamaka I</dc:creator>
  <cp:keywords/>
  <dc:description/>
  <cp:lastModifiedBy>McGinnis, Cory</cp:lastModifiedBy>
  <cp:revision>2</cp:revision>
  <dcterms:created xsi:type="dcterms:W3CDTF">2022-11-16T19:14:00Z</dcterms:created>
  <dcterms:modified xsi:type="dcterms:W3CDTF">2022-11-16T19:14:00Z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2022-11-16T17:33:53Z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ee9ec851-294d-4125-8fe3-9b96bd6b7e5e</vt:lpwstr>
  </property>
  <property fmtid="{D5CDD505-2E9C-101B-9397-08002B2CF9AE}" pid="8" name="MSIP_Label_5e4b1be8-281e-475d-98b0-21c3457e5a46_ContentBits">
    <vt:lpwstr>0</vt:lpwstr>
  </property>
</Properties>
</file>