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A440" w14:textId="1A7AB095" w:rsidR="007C78AC" w:rsidRPr="004A2439" w:rsidRDefault="00B63E74" w:rsidP="20DBC7DB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B63E74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C6D7F" wp14:editId="10E93FB2">
                <wp:simplePos x="0" y="0"/>
                <wp:positionH relativeFrom="column">
                  <wp:posOffset>885825</wp:posOffset>
                </wp:positionH>
                <wp:positionV relativeFrom="paragraph">
                  <wp:posOffset>95250</wp:posOffset>
                </wp:positionV>
                <wp:extent cx="5473700" cy="447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8444" w14:textId="322FF54E" w:rsidR="00B63E74" w:rsidRPr="00E875F5" w:rsidRDefault="00E875F5">
                            <w:r w:rsidRPr="00E875F5">
                              <w:rPr>
                                <w:rStyle w:val="normaltextrun"/>
                                <w:color w:val="000000"/>
                                <w:sz w:val="22"/>
                                <w:szCs w:val="22"/>
                                <w:highlight w:val="lightGray"/>
                                <w:shd w:val="clear" w:color="auto" w:fill="FFFFFF"/>
                              </w:rPr>
                              <w:t>A-B-CMV is NOT Easy as 1-2-3 in Pediatrics: Pediatric Considerations for Cytomegalovirus (CMV) Management in Hematopoietic Stem Cell Transplant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C6D7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69.75pt;margin-top:7.5pt;width:431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" fillcolor="#d8d8d8 [2732]" stroked="f">
                <v:textbox>
                  <w:txbxContent>
                    <w:p w14:paraId="2A3A8444" w14:textId="322FF54E" w:rsidR="00B63E74" w:rsidRPr="00E875F5" w:rsidRDefault="00E875F5">
                      <w:r w:rsidRPr="00E875F5">
                        <w:rPr>
                          <w:rStyle w:val="normaltextrun"/>
                          <w:color w:val="000000"/>
                          <w:sz w:val="22"/>
                          <w:szCs w:val="22"/>
                          <w:highlight w:val="lightGray"/>
                          <w:shd w:val="clear" w:color="auto" w:fill="FFFFFF"/>
                        </w:rPr>
                        <w:t>A-B-CMV is NOT Easy as 1-2-3 in Pediatrics: Pediatric Considerations for Cytomegalovirus (CMV) Management in Hematopoietic Stem Cell Transplant Patients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3B3FA" w14:textId="409D5702" w:rsidR="007C78AC" w:rsidRPr="004A2439" w:rsidRDefault="007C78AC" w:rsidP="00111A0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2439">
        <w:rPr>
          <w:rFonts w:asciiTheme="minorHAnsi" w:hAnsiTheme="minorHAnsi" w:cstheme="minorHAnsi"/>
          <w:b/>
          <w:bCs/>
          <w:sz w:val="22"/>
          <w:szCs w:val="22"/>
          <w:u w:val="single"/>
        </w:rPr>
        <w:t>Activity Title:</w:t>
      </w:r>
      <w:r w:rsidR="00E715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65C87D3F" w14:textId="72615159" w:rsidR="002A7BDB" w:rsidRDefault="002A7BDB" w:rsidP="00111A0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05DAD3" w14:textId="7E7CCE4C" w:rsidR="00E715BF" w:rsidRPr="004A2439" w:rsidRDefault="00B63E74" w:rsidP="00111A0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3E74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FC36FC" wp14:editId="51A02C72">
                <wp:simplePos x="0" y="0"/>
                <wp:positionH relativeFrom="column">
                  <wp:posOffset>870115</wp:posOffset>
                </wp:positionH>
                <wp:positionV relativeFrom="paragraph">
                  <wp:posOffset>132889</wp:posOffset>
                </wp:positionV>
                <wp:extent cx="3559175" cy="663575"/>
                <wp:effectExtent l="0" t="0" r="3175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66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0EDBC" w14:textId="4CA16D14" w:rsidR="00B63E74" w:rsidRPr="00E875F5" w:rsidRDefault="00E875F5" w:rsidP="009743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75F5">
                              <w:rPr>
                                <w:sz w:val="22"/>
                                <w:szCs w:val="22"/>
                              </w:rPr>
                              <w:t>Erin Tamulonis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36FC" id="_x0000_s1027" type="#_x0000_t202" style="position:absolute;margin-left:68.5pt;margin-top:10.45pt;width:280.25pt;height:5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" fillcolor="#d8d8d8 [2732]" stroked="f">
                <v:textbox>
                  <w:txbxContent>
                    <w:p w14:paraId="3FD0EDBC" w14:textId="4CA16D14" w:rsidR="00B63E74" w:rsidRPr="00E875F5" w:rsidRDefault="00E875F5" w:rsidP="009743DC">
                      <w:pPr>
                        <w:rPr>
                          <w:sz w:val="22"/>
                          <w:szCs w:val="22"/>
                        </w:rPr>
                      </w:pPr>
                      <w:r w:rsidRPr="00E875F5">
                        <w:rPr>
                          <w:sz w:val="22"/>
                          <w:szCs w:val="22"/>
                        </w:rPr>
                        <w:t>Erin Tamulonis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05E50" w14:textId="5BA25AA8" w:rsidR="007C78AC" w:rsidRPr="004A2439" w:rsidRDefault="007C78AC" w:rsidP="00111A0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2A45282B">
        <w:rPr>
          <w:rFonts w:asciiTheme="minorHAnsi" w:hAnsiTheme="minorHAnsi" w:cstheme="minorBidi"/>
          <w:b/>
          <w:bCs/>
          <w:sz w:val="22"/>
          <w:szCs w:val="22"/>
          <w:u w:val="single"/>
        </w:rPr>
        <w:t>Speaker:</w:t>
      </w:r>
    </w:p>
    <w:p w14:paraId="598E599E" w14:textId="2D00C1E6" w:rsidR="2A45282B" w:rsidRDefault="2A45282B" w:rsidP="2A45282B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p w14:paraId="646B867F" w14:textId="0C5AFE7C" w:rsidR="2A45282B" w:rsidRDefault="2A45282B" w:rsidP="2A45282B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p w14:paraId="7BAAFB34" w14:textId="4A237B41" w:rsidR="2A45282B" w:rsidRDefault="2A45282B" w:rsidP="2A45282B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p w14:paraId="211BF7EE" w14:textId="0DBACD57" w:rsidR="007C78AC" w:rsidRDefault="007C78AC" w:rsidP="2A45282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sz w:val="22"/>
          <w:szCs w:val="22"/>
          <w:u w:val="single"/>
        </w:rPr>
      </w:pPr>
      <w:r w:rsidRPr="2A45282B">
        <w:rPr>
          <w:rStyle w:val="Strong"/>
          <w:rFonts w:asciiTheme="minorHAnsi" w:hAnsiTheme="minorHAnsi" w:cstheme="minorBidi"/>
          <w:sz w:val="22"/>
          <w:szCs w:val="22"/>
          <w:u w:val="single"/>
        </w:rPr>
        <w:t>Objectives:</w:t>
      </w:r>
    </w:p>
    <w:p w14:paraId="718E2C31" w14:textId="6E0A5756" w:rsidR="00447D4D" w:rsidRDefault="00447D4D" w:rsidP="2A45282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b w:val="0"/>
          <w:bCs w:val="0"/>
          <w:sz w:val="22"/>
          <w:szCs w:val="22"/>
        </w:rPr>
      </w:pPr>
    </w:p>
    <w:p w14:paraId="0402D4B2" w14:textId="0FD3FE09" w:rsidR="007C78AC" w:rsidRDefault="007C78AC" w:rsidP="2A45282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3050F97E" wp14:editId="0E5E294A">
                <wp:extent cx="5574030" cy="1427480"/>
                <wp:effectExtent l="0" t="0" r="7620" b="1270"/>
                <wp:docPr id="348605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1427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7184" w14:textId="65ACD332" w:rsidR="00E875F5" w:rsidRPr="00E875F5" w:rsidRDefault="00E875F5" w:rsidP="00E875F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E875F5">
                              <w:rPr>
                                <w:rStyle w:val="normaltextrun"/>
                                <w:color w:val="000000"/>
                                <w:sz w:val="22"/>
                                <w:szCs w:val="22"/>
                              </w:rPr>
                              <w:t>Identify pathophysiology and diagnostics for cytomegalovirus (CMV) infection in hematopoietic stem cell transplant (HCT) patients.</w:t>
                            </w:r>
                            <w:r w:rsidRPr="00E875F5">
                              <w:rPr>
                                <w:rStyle w:val="eop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BE1BA42" w14:textId="35D7D533" w:rsidR="00E875F5" w:rsidRPr="00E875F5" w:rsidRDefault="00E875F5" w:rsidP="00E875F5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E875F5">
                              <w:rPr>
                                <w:rStyle w:val="normaltextrun"/>
                                <w:color w:val="000000"/>
                                <w:sz w:val="22"/>
                                <w:szCs w:val="22"/>
                              </w:rPr>
                              <w:t>Discuss recommendations for CMV prophylaxis, with a focus on differences between pediatric and adult HCT patients.</w:t>
                            </w:r>
                            <w:r w:rsidRPr="00E875F5">
                              <w:rPr>
                                <w:rStyle w:val="eop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DB33FA1" w14:textId="330256C0" w:rsidR="00E875F5" w:rsidRPr="00E875F5" w:rsidRDefault="00E875F5" w:rsidP="00E875F5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E875F5">
                              <w:rPr>
                                <w:rStyle w:val="normaltextrun"/>
                                <w:color w:val="000000"/>
                                <w:sz w:val="22"/>
                                <w:szCs w:val="22"/>
                              </w:rPr>
                              <w:t>Describe treatment options for CMV in HCT, including refractory or resistant cases.</w:t>
                            </w:r>
                            <w:r w:rsidRPr="00E875F5">
                              <w:rPr>
                                <w:rStyle w:val="eop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5032FB3" w14:textId="77777777" w:rsidR="00B63E74" w:rsidRDefault="00B63E74" w:rsidP="00B63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0F97E" id="Text Box 2" o:spid="_x0000_s1028" type="#_x0000_t202" style="width:438.9pt;height:1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" fillcolor="#d8d8d8 [2732]" stroked="f">
                <v:textbox>
                  <w:txbxContent>
                    <w:p w14:paraId="6DFA7184" w14:textId="65ACD332" w:rsidR="00E875F5" w:rsidRPr="00E875F5" w:rsidRDefault="00E875F5" w:rsidP="00E875F5">
                      <w:pPr>
                        <w:pStyle w:val="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before="0" w:beforeAutospacing="0" w:after="0" w:afterAutospacing="0"/>
                        <w:ind w:left="36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E875F5">
                        <w:rPr>
                          <w:rStyle w:val="normaltextrun"/>
                          <w:color w:val="000000"/>
                          <w:sz w:val="22"/>
                          <w:szCs w:val="22"/>
                        </w:rPr>
                        <w:t>Identify pathophysiology and diagnostics for cytomegalovirus (CMV) infection in hematopoietic stem cell transplant (HCT) patients.</w:t>
                      </w:r>
                      <w:r w:rsidRPr="00E875F5">
                        <w:rPr>
                          <w:rStyle w:val="eop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3BE1BA42" w14:textId="35D7D533" w:rsidR="00E875F5" w:rsidRPr="00E875F5" w:rsidRDefault="00E875F5" w:rsidP="00E875F5">
                      <w:pPr>
                        <w:pStyle w:val="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0" w:beforeAutospacing="0" w:after="0" w:afterAutospacing="0"/>
                        <w:ind w:left="36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E875F5">
                        <w:rPr>
                          <w:rStyle w:val="normaltextrun"/>
                          <w:color w:val="000000"/>
                          <w:sz w:val="22"/>
                          <w:szCs w:val="22"/>
                        </w:rPr>
                        <w:t>Discuss recommendations for CMV prophylaxis, with a focus on differences between pediatric and adult HCT patients.</w:t>
                      </w:r>
                      <w:r w:rsidRPr="00E875F5">
                        <w:rPr>
                          <w:rStyle w:val="eop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DB33FA1" w14:textId="330256C0" w:rsidR="00E875F5" w:rsidRPr="00E875F5" w:rsidRDefault="00E875F5" w:rsidP="00E875F5">
                      <w:pPr>
                        <w:pStyle w:val="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0" w:beforeAutospacing="0" w:after="0" w:afterAutospacing="0"/>
                        <w:ind w:left="36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E875F5">
                        <w:rPr>
                          <w:rStyle w:val="normaltextrun"/>
                          <w:color w:val="000000"/>
                          <w:sz w:val="22"/>
                          <w:szCs w:val="22"/>
                        </w:rPr>
                        <w:t>Describe treatment options for CMV in HCT, including refractory or resistant cases.</w:t>
                      </w:r>
                      <w:r w:rsidRPr="00E875F5">
                        <w:rPr>
                          <w:rStyle w:val="eop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5032FB3" w14:textId="77777777" w:rsidR="00B63E74" w:rsidRDefault="00B63E74" w:rsidP="00B63E74"/>
                  </w:txbxContent>
                </v:textbox>
                <w10:anchorlock/>
              </v:shape>
            </w:pict>
          </mc:Fallback>
        </mc:AlternateContent>
      </w:r>
    </w:p>
    <w:p w14:paraId="21DA49F1" w14:textId="7E0522AF" w:rsidR="2A45282B" w:rsidRDefault="2A45282B" w:rsidP="2A45282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b w:val="0"/>
          <w:bCs w:val="0"/>
          <w:sz w:val="22"/>
          <w:szCs w:val="22"/>
        </w:rPr>
      </w:pPr>
    </w:p>
    <w:p w14:paraId="5CAF7443" w14:textId="358FBB43" w:rsidR="004D41D8" w:rsidRDefault="004D41D8" w:rsidP="00245847">
      <w:pPr>
        <w:pStyle w:val="ListParagraph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EFEB51" w14:textId="070C41F8" w:rsidR="00DD526C" w:rsidRDefault="4FC48619" w:rsidP="00E875F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sz w:val="22"/>
          <w:szCs w:val="22"/>
          <w:u w:val="single"/>
        </w:rPr>
      </w:pPr>
      <w:r w:rsidRPr="43A9114B">
        <w:rPr>
          <w:rStyle w:val="Strong"/>
          <w:rFonts w:asciiTheme="minorHAnsi" w:hAnsiTheme="minorHAnsi" w:cstheme="minorBidi"/>
          <w:sz w:val="22"/>
          <w:szCs w:val="22"/>
          <w:u w:val="single"/>
        </w:rPr>
        <w:t xml:space="preserve">Presentation Abstract: </w:t>
      </w:r>
    </w:p>
    <w:p w14:paraId="7C4B6DFA" w14:textId="482AC1B0" w:rsidR="00E875F5" w:rsidRDefault="00E875F5" w:rsidP="00E875F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sz w:val="22"/>
          <w:szCs w:val="22"/>
          <w:u w:val="single"/>
        </w:rPr>
      </w:pPr>
    </w:p>
    <w:p w14:paraId="0CDE4321" w14:textId="77777777" w:rsidR="00482C51" w:rsidRDefault="00482C51" w:rsidP="00482C51">
      <w:pPr>
        <w:pStyle w:val="NormalWeb"/>
        <w:spacing w:before="0" w:beforeAutospacing="0" w:after="0" w:afterAutospacing="0"/>
        <w:rPr>
          <w:rStyle w:val="eop"/>
          <w:sz w:val="22"/>
          <w:szCs w:val="22"/>
          <w:shd w:val="clear" w:color="auto" w:fill="FFFFFF"/>
        </w:rPr>
      </w:pPr>
      <w:r w:rsidRPr="00E875F5">
        <w:rPr>
          <w:rStyle w:val="normaltextrun"/>
          <w:color w:val="000000"/>
          <w:sz w:val="22"/>
          <w:szCs w:val="22"/>
          <w:shd w:val="clear" w:color="auto" w:fill="FFFFFF"/>
        </w:rPr>
        <w:t xml:space="preserve">Cytomegalovirus (CMV) is a common virus that rarely causes illness in healthy patients but can cause clinically significant infection in patients with weakened immune systems. Hematopoietic stem cell transplant (HCT) recipients with CMV </w:t>
      </w:r>
      <w:r w:rsidRPr="00E875F5">
        <w:rPr>
          <w:rStyle w:val="normaltextrun"/>
          <w:sz w:val="22"/>
          <w:szCs w:val="22"/>
          <w:shd w:val="clear" w:color="auto" w:fill="FFFFFF"/>
        </w:rPr>
        <w:t>reactivation</w:t>
      </w:r>
      <w:r w:rsidRPr="00E875F5">
        <w:rPr>
          <w:rStyle w:val="normaltextrun"/>
          <w:color w:val="D13438"/>
          <w:sz w:val="22"/>
          <w:szCs w:val="22"/>
          <w:shd w:val="clear" w:color="auto" w:fill="FFFFFF"/>
        </w:rPr>
        <w:t xml:space="preserve"> </w:t>
      </w:r>
      <w:r w:rsidRPr="00E875F5">
        <w:rPr>
          <w:rStyle w:val="normaltextrun"/>
          <w:color w:val="000000"/>
          <w:sz w:val="22"/>
          <w:szCs w:val="22"/>
          <w:shd w:val="clear" w:color="auto" w:fill="FFFFFF"/>
        </w:rPr>
        <w:t xml:space="preserve">are at increased risk for morbidity and mortality. Recent guidelines published in 2021 </w:t>
      </w:r>
      <w:r w:rsidRPr="00E875F5">
        <w:rPr>
          <w:rStyle w:val="normaltextrun"/>
          <w:sz w:val="22"/>
          <w:szCs w:val="22"/>
          <w:shd w:val="clear" w:color="auto" w:fill="FFFFFF"/>
        </w:rPr>
        <w:t xml:space="preserve">address </w:t>
      </w:r>
      <w:r w:rsidRPr="00E875F5">
        <w:rPr>
          <w:rStyle w:val="normaltextrun"/>
          <w:color w:val="000000"/>
          <w:sz w:val="22"/>
          <w:szCs w:val="22"/>
          <w:shd w:val="clear" w:color="auto" w:fill="FFFFFF"/>
        </w:rPr>
        <w:t>prophylaxis and treatment</w:t>
      </w:r>
      <w:r w:rsidRPr="00E875F5">
        <w:rPr>
          <w:rStyle w:val="normaltextrun"/>
          <w:sz w:val="22"/>
          <w:szCs w:val="22"/>
          <w:shd w:val="clear" w:color="auto" w:fill="FFFFFF"/>
        </w:rPr>
        <w:t xml:space="preserve"> of CMV in both pediatric and adult patients. </w:t>
      </w:r>
      <w:r w:rsidRPr="00E875F5">
        <w:rPr>
          <w:rStyle w:val="normaltextrun"/>
          <w:color w:val="000000"/>
          <w:sz w:val="22"/>
          <w:szCs w:val="22"/>
          <w:shd w:val="clear" w:color="auto" w:fill="FFFFFF"/>
        </w:rPr>
        <w:t xml:space="preserve">Historically, there was no guideline supported prophylactic agent specific for CMV until the FDA approval of </w:t>
      </w:r>
      <w:proofErr w:type="spellStart"/>
      <w:r w:rsidRPr="00E875F5">
        <w:rPr>
          <w:rStyle w:val="normaltextrun"/>
          <w:color w:val="000000"/>
          <w:sz w:val="22"/>
          <w:szCs w:val="22"/>
          <w:shd w:val="clear" w:color="auto" w:fill="FFFFFF"/>
        </w:rPr>
        <w:t>letermovir</w:t>
      </w:r>
      <w:proofErr w:type="spellEnd"/>
      <w:r w:rsidRPr="00E875F5">
        <w:rPr>
          <w:rStyle w:val="normaltextrun"/>
          <w:sz w:val="22"/>
          <w:szCs w:val="22"/>
          <w:u w:val="single"/>
          <w:shd w:val="clear" w:color="auto" w:fill="FFFFFF"/>
        </w:rPr>
        <w:t xml:space="preserve"> </w:t>
      </w:r>
      <w:r w:rsidRPr="00E875F5">
        <w:rPr>
          <w:rStyle w:val="normaltextrun"/>
          <w:sz w:val="22"/>
          <w:szCs w:val="22"/>
          <w:shd w:val="clear" w:color="auto" w:fill="FFFFFF"/>
        </w:rPr>
        <w:t xml:space="preserve">in 2017. In the 2021 guidelines, </w:t>
      </w:r>
      <w:proofErr w:type="spellStart"/>
      <w:r w:rsidRPr="00E875F5">
        <w:rPr>
          <w:rStyle w:val="normaltextrun"/>
          <w:sz w:val="22"/>
          <w:szCs w:val="22"/>
          <w:shd w:val="clear" w:color="auto" w:fill="FFFFFF"/>
        </w:rPr>
        <w:t>maribavir</w:t>
      </w:r>
      <w:proofErr w:type="spellEnd"/>
      <w:r w:rsidRPr="00E875F5">
        <w:rPr>
          <w:rStyle w:val="normaltextrun"/>
          <w:sz w:val="22"/>
          <w:szCs w:val="22"/>
          <w:shd w:val="clear" w:color="auto" w:fill="FFFFFF"/>
        </w:rPr>
        <w:t xml:space="preserve"> is discussed as an investigational agent, though it was FDA approved in late 2021 for post-transplant refractory CMV infection or disease. Current FDA approvals and lack of large pharmacokinetic studies in pediatric patients limit the broad use of </w:t>
      </w:r>
      <w:proofErr w:type="spellStart"/>
      <w:r w:rsidRPr="00E875F5">
        <w:rPr>
          <w:rStyle w:val="normaltextrun"/>
          <w:sz w:val="22"/>
          <w:szCs w:val="22"/>
          <w:shd w:val="clear" w:color="auto" w:fill="FFFFFF"/>
        </w:rPr>
        <w:t>letermovir</w:t>
      </w:r>
      <w:proofErr w:type="spellEnd"/>
      <w:r w:rsidRPr="00E875F5">
        <w:rPr>
          <w:rStyle w:val="normaltextrun"/>
          <w:sz w:val="22"/>
          <w:szCs w:val="22"/>
          <w:shd w:val="clear" w:color="auto" w:fill="FFFFFF"/>
        </w:rPr>
        <w:t xml:space="preserve"> and </w:t>
      </w:r>
      <w:proofErr w:type="spellStart"/>
      <w:r w:rsidRPr="00E875F5">
        <w:rPr>
          <w:rStyle w:val="normaltextrun"/>
          <w:sz w:val="22"/>
          <w:szCs w:val="22"/>
          <w:shd w:val="clear" w:color="auto" w:fill="FFFFFF"/>
        </w:rPr>
        <w:t>maribavir</w:t>
      </w:r>
      <w:proofErr w:type="spellEnd"/>
      <w:r w:rsidRPr="00E875F5">
        <w:rPr>
          <w:rStyle w:val="normaltextrun"/>
          <w:sz w:val="22"/>
          <w:szCs w:val="22"/>
          <w:shd w:val="clear" w:color="auto" w:fill="FFFFFF"/>
        </w:rPr>
        <w:t xml:space="preserve"> in this population; however, case reports demonstrate that these are potential therapeutic options.</w:t>
      </w:r>
      <w:r w:rsidRPr="00E875F5">
        <w:rPr>
          <w:rStyle w:val="eop"/>
          <w:sz w:val="22"/>
          <w:szCs w:val="22"/>
          <w:shd w:val="clear" w:color="auto" w:fill="FFFFFF"/>
        </w:rPr>
        <w:t> </w:t>
      </w:r>
    </w:p>
    <w:p w14:paraId="5B536267" w14:textId="77777777" w:rsidR="00B63E74" w:rsidRPr="00E875F5" w:rsidRDefault="00B63E74" w:rsidP="00E875F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B03F972" w14:textId="77777777" w:rsidR="00DE1DF9" w:rsidRPr="003C188A" w:rsidRDefault="00DE1DF9" w:rsidP="00DE1DF9">
      <w:pPr>
        <w:framePr w:hSpace="180" w:wrap="around" w:vAnchor="text" w:hAnchor="page" w:x="1467" w:y="6126"/>
        <w:ind w:right="-72"/>
        <w:rPr>
          <w:rFonts w:ascii="Arial" w:hAnsi="Arial" w:cs="Arial"/>
          <w:b/>
          <w:sz w:val="20"/>
          <w:szCs w:val="20"/>
        </w:rPr>
      </w:pPr>
    </w:p>
    <w:p w14:paraId="3F8C5194" w14:textId="77777777" w:rsidR="00DE1DF9" w:rsidRPr="00DE1DF9" w:rsidRDefault="00DE1DF9" w:rsidP="00DE1DF9">
      <w:pPr>
        <w:ind w:right="-72"/>
        <w:rPr>
          <w:rFonts w:ascii="Arial" w:hAnsi="Arial" w:cs="Arial"/>
          <w:b/>
          <w:sz w:val="20"/>
          <w:szCs w:val="20"/>
          <w:u w:val="single"/>
        </w:rPr>
      </w:pPr>
      <w:r w:rsidRPr="00DE1DF9">
        <w:rPr>
          <w:rFonts w:ascii="Arial" w:hAnsi="Arial" w:cs="Arial"/>
          <w:b/>
          <w:sz w:val="20"/>
          <w:szCs w:val="20"/>
          <w:u w:val="single"/>
        </w:rPr>
        <w:t>Format:</w:t>
      </w:r>
    </w:p>
    <w:p w14:paraId="05226EC4" w14:textId="77777777" w:rsidR="00DE1DF9" w:rsidRPr="003C188A" w:rsidRDefault="00DE1DF9" w:rsidP="00DE1DF9">
      <w:pPr>
        <w:ind w:right="-72"/>
        <w:rPr>
          <w:rFonts w:ascii="Arial" w:hAnsi="Arial" w:cs="Arial"/>
          <w:sz w:val="20"/>
          <w:szCs w:val="20"/>
        </w:rPr>
      </w:pPr>
      <w:r w:rsidRPr="003C188A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14"/>
      <w:r w:rsidRPr="003C188A">
        <w:rPr>
          <w:rFonts w:ascii="Arial" w:hAnsi="Arial" w:cs="Arial"/>
          <w:sz w:val="20"/>
          <w:szCs w:val="20"/>
        </w:rPr>
        <w:instrText xml:space="preserve"> FORMCHECKBOX </w:instrText>
      </w:r>
      <w:r w:rsidR="00482C51">
        <w:rPr>
          <w:rFonts w:ascii="Arial" w:hAnsi="Arial" w:cs="Arial"/>
          <w:sz w:val="20"/>
          <w:szCs w:val="20"/>
        </w:rPr>
      </w:r>
      <w:r w:rsidR="00482C51">
        <w:rPr>
          <w:rFonts w:ascii="Arial" w:hAnsi="Arial" w:cs="Arial"/>
          <w:sz w:val="20"/>
          <w:szCs w:val="20"/>
        </w:rPr>
        <w:fldChar w:fldCharType="separate"/>
      </w:r>
      <w:r w:rsidRPr="003C188A">
        <w:rPr>
          <w:rFonts w:ascii="Arial" w:hAnsi="Arial" w:cs="Arial"/>
          <w:sz w:val="20"/>
          <w:szCs w:val="20"/>
        </w:rPr>
        <w:fldChar w:fldCharType="end"/>
      </w:r>
      <w:bookmarkEnd w:id="0"/>
      <w:r w:rsidRPr="003C188A">
        <w:rPr>
          <w:rFonts w:ascii="Arial" w:hAnsi="Arial" w:cs="Arial"/>
          <w:sz w:val="20"/>
          <w:szCs w:val="20"/>
        </w:rPr>
        <w:t xml:space="preserve">  Live</w:t>
      </w:r>
    </w:p>
    <w:bookmarkStart w:id="1" w:name="_Hlk508884800"/>
    <w:p w14:paraId="14FFFA12" w14:textId="77777777" w:rsidR="00DE1DF9" w:rsidRPr="003C188A" w:rsidRDefault="00DE1DF9" w:rsidP="00DE1DF9">
      <w:pPr>
        <w:ind w:right="-72"/>
        <w:rPr>
          <w:rFonts w:ascii="Arial" w:hAnsi="Arial" w:cs="Arial"/>
          <w:sz w:val="20"/>
          <w:szCs w:val="20"/>
        </w:rPr>
      </w:pPr>
      <w:r w:rsidRPr="003C18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ascii="Arial" w:hAnsi="Arial" w:cs="Arial"/>
          <w:sz w:val="20"/>
          <w:szCs w:val="20"/>
        </w:rPr>
        <w:instrText xml:space="preserve"> FORMCHECKBOX </w:instrText>
      </w:r>
      <w:r w:rsidR="00482C51">
        <w:rPr>
          <w:rFonts w:ascii="Arial" w:hAnsi="Arial" w:cs="Arial"/>
          <w:sz w:val="20"/>
          <w:szCs w:val="20"/>
        </w:rPr>
      </w:r>
      <w:r w:rsidR="00482C51">
        <w:rPr>
          <w:rFonts w:ascii="Arial" w:hAnsi="Arial" w:cs="Arial"/>
          <w:sz w:val="20"/>
          <w:szCs w:val="20"/>
        </w:rPr>
        <w:fldChar w:fldCharType="separate"/>
      </w:r>
      <w:r w:rsidRPr="003C188A">
        <w:rPr>
          <w:rFonts w:ascii="Arial" w:hAnsi="Arial" w:cs="Arial"/>
          <w:sz w:val="20"/>
          <w:szCs w:val="20"/>
        </w:rPr>
        <w:fldChar w:fldCharType="end"/>
      </w:r>
      <w:r w:rsidRPr="003C188A">
        <w:rPr>
          <w:rFonts w:ascii="Arial" w:hAnsi="Arial" w:cs="Arial"/>
          <w:sz w:val="20"/>
          <w:szCs w:val="20"/>
        </w:rPr>
        <w:t xml:space="preserve">  Home study</w:t>
      </w:r>
    </w:p>
    <w:bookmarkEnd w:id="1"/>
    <w:p w14:paraId="3B29461A" w14:textId="2245D5C9" w:rsidR="00DE1DF9" w:rsidRPr="003C188A" w:rsidRDefault="00E875F5" w:rsidP="00DE1DF9">
      <w:pPr>
        <w:ind w:right="-72"/>
        <w:rPr>
          <w:rFonts w:ascii="Arial" w:hAnsi="Arial" w:cs="Arial"/>
          <w:sz w:val="20"/>
          <w:szCs w:val="20"/>
        </w:rPr>
      </w:pPr>
      <w:r w:rsidRPr="003C18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ascii="Arial" w:hAnsi="Arial" w:cs="Arial"/>
          <w:sz w:val="20"/>
          <w:szCs w:val="20"/>
        </w:rPr>
        <w:instrText xml:space="preserve"> FORMCHECKBOX </w:instrText>
      </w:r>
      <w:r w:rsidR="00482C51">
        <w:rPr>
          <w:rFonts w:ascii="Arial" w:hAnsi="Arial" w:cs="Arial"/>
          <w:sz w:val="20"/>
          <w:szCs w:val="20"/>
        </w:rPr>
      </w:r>
      <w:r w:rsidR="00482C51">
        <w:rPr>
          <w:rFonts w:ascii="Arial" w:hAnsi="Arial" w:cs="Arial"/>
          <w:sz w:val="20"/>
          <w:szCs w:val="20"/>
        </w:rPr>
        <w:fldChar w:fldCharType="separate"/>
      </w:r>
      <w:r w:rsidRPr="003C188A">
        <w:rPr>
          <w:rFonts w:ascii="Arial" w:hAnsi="Arial" w:cs="Arial"/>
          <w:sz w:val="20"/>
          <w:szCs w:val="20"/>
        </w:rPr>
        <w:fldChar w:fldCharType="end"/>
      </w:r>
      <w:r w:rsidRPr="003C188A">
        <w:rPr>
          <w:rFonts w:ascii="Arial" w:hAnsi="Arial" w:cs="Arial"/>
          <w:sz w:val="20"/>
          <w:szCs w:val="20"/>
        </w:rPr>
        <w:t xml:space="preserve"> </w:t>
      </w:r>
      <w:r w:rsidR="00DE1DF9" w:rsidRPr="003C188A">
        <w:rPr>
          <w:rFonts w:ascii="Arial" w:hAnsi="Arial" w:cs="Arial"/>
          <w:sz w:val="20"/>
          <w:szCs w:val="20"/>
        </w:rPr>
        <w:t xml:space="preserve">  Live and Home study</w:t>
      </w:r>
    </w:p>
    <w:p w14:paraId="39732AD0" w14:textId="7823F1AE" w:rsidR="00DE1DF9" w:rsidRDefault="00E875F5" w:rsidP="00DE1DF9">
      <w:pPr>
        <w:ind w:right="-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82C51">
        <w:rPr>
          <w:rFonts w:ascii="Arial" w:hAnsi="Arial" w:cs="Arial"/>
          <w:sz w:val="20"/>
          <w:szCs w:val="20"/>
        </w:rPr>
      </w:r>
      <w:r w:rsidR="00482C5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DE1DF9" w:rsidRPr="003C188A">
        <w:rPr>
          <w:rFonts w:ascii="Arial" w:hAnsi="Arial" w:cs="Arial"/>
          <w:sz w:val="20"/>
          <w:szCs w:val="20"/>
        </w:rPr>
        <w:t xml:space="preserve">  Webinar (Live)</w:t>
      </w:r>
    </w:p>
    <w:p w14:paraId="123E3F76" w14:textId="2D4378F7" w:rsidR="00DE1DF9" w:rsidRDefault="00DE1DF9" w:rsidP="00DE1DF9">
      <w:pPr>
        <w:rPr>
          <w:rFonts w:ascii="Arial" w:hAnsi="Arial" w:cs="Arial"/>
          <w:b/>
          <w:sz w:val="20"/>
          <w:szCs w:val="20"/>
        </w:rPr>
      </w:pPr>
    </w:p>
    <w:p w14:paraId="791559CC" w14:textId="10847712" w:rsidR="00DE1DF9" w:rsidRDefault="005A69F3" w:rsidP="00DE1DF9">
      <w:pPr>
        <w:rPr>
          <w:rFonts w:ascii="Arial" w:hAnsi="Arial" w:cs="Arial"/>
          <w:b/>
          <w:sz w:val="20"/>
          <w:szCs w:val="20"/>
        </w:rPr>
      </w:pPr>
      <w:r w:rsidRPr="00B63E74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851004" wp14:editId="10EAB4E6">
                <wp:simplePos x="0" y="0"/>
                <wp:positionH relativeFrom="column">
                  <wp:posOffset>1496695</wp:posOffset>
                </wp:positionH>
                <wp:positionV relativeFrom="paragraph">
                  <wp:posOffset>91440</wp:posOffset>
                </wp:positionV>
                <wp:extent cx="3559175" cy="262255"/>
                <wp:effectExtent l="0" t="0" r="317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262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85EF" w14:textId="4EAAB88F" w:rsidR="005A69F3" w:rsidRPr="00E875F5" w:rsidRDefault="00E875F5" w:rsidP="005A69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75F5">
                              <w:rPr>
                                <w:sz w:val="22"/>
                                <w:szCs w:val="22"/>
                              </w:rPr>
                              <w:t>January 25,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1004" id="_x0000_s1029" type="#_x0000_t202" style="position:absolute;margin-left:117.85pt;margin-top:7.2pt;width:280.2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" fillcolor="#d8d8d8 [2732]" stroked="f">
                <v:textbox>
                  <w:txbxContent>
                    <w:p w14:paraId="5BCB85EF" w14:textId="4EAAB88F" w:rsidR="005A69F3" w:rsidRPr="00E875F5" w:rsidRDefault="00E875F5" w:rsidP="005A69F3">
                      <w:pPr>
                        <w:rPr>
                          <w:sz w:val="22"/>
                          <w:szCs w:val="22"/>
                        </w:rPr>
                      </w:pPr>
                      <w:r w:rsidRPr="00E875F5">
                        <w:rPr>
                          <w:sz w:val="22"/>
                          <w:szCs w:val="22"/>
                        </w:rPr>
                        <w:t>January 25,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22CF56" w14:textId="7C59D1A5" w:rsidR="00DE1DF9" w:rsidRDefault="00DE1DF9" w:rsidP="00DE1DF9">
      <w:pPr>
        <w:rPr>
          <w:rFonts w:ascii="Arial" w:hAnsi="Arial" w:cs="Arial"/>
          <w:b/>
          <w:sz w:val="20"/>
          <w:szCs w:val="20"/>
        </w:rPr>
      </w:pPr>
      <w:r w:rsidRPr="00DE1DF9">
        <w:rPr>
          <w:rFonts w:ascii="Arial" w:hAnsi="Arial" w:cs="Arial"/>
          <w:b/>
          <w:sz w:val="20"/>
          <w:szCs w:val="20"/>
          <w:u w:val="single"/>
        </w:rPr>
        <w:t>Date of Live Activity</w:t>
      </w:r>
      <w:r>
        <w:rPr>
          <w:rFonts w:ascii="Arial" w:hAnsi="Arial" w:cs="Arial"/>
          <w:b/>
          <w:sz w:val="20"/>
          <w:szCs w:val="20"/>
        </w:rPr>
        <w:t>:</w:t>
      </w:r>
    </w:p>
    <w:p w14:paraId="0A5B8DB6" w14:textId="21F17637" w:rsidR="00B63E74" w:rsidRDefault="00B63E74" w:rsidP="00DE1DF9">
      <w:pPr>
        <w:rPr>
          <w:rFonts w:ascii="Arial" w:hAnsi="Arial" w:cs="Arial"/>
          <w:b/>
          <w:sz w:val="20"/>
          <w:szCs w:val="20"/>
        </w:rPr>
      </w:pPr>
    </w:p>
    <w:p w14:paraId="2978E332" w14:textId="77777777" w:rsidR="00DE1DF9" w:rsidRPr="007C78AC" w:rsidRDefault="00DE1DF9" w:rsidP="00DE1DF9">
      <w:pPr>
        <w:rPr>
          <w:rFonts w:ascii="Arial" w:hAnsi="Arial" w:cs="Arial"/>
          <w:b/>
          <w:sz w:val="20"/>
          <w:szCs w:val="20"/>
        </w:rPr>
      </w:pPr>
      <w:r w:rsidRPr="00DE1DF9">
        <w:rPr>
          <w:rFonts w:ascii="Arial" w:hAnsi="Arial" w:cs="Arial"/>
          <w:b/>
          <w:sz w:val="20"/>
          <w:szCs w:val="20"/>
          <w:u w:val="single"/>
        </w:rPr>
        <w:t>Activity length (hr. or CEU):</w:t>
      </w:r>
      <w:r w:rsidRPr="007C78AC">
        <w:rPr>
          <w:rFonts w:ascii="Arial" w:hAnsi="Arial" w:cs="Arial"/>
          <w:b/>
          <w:sz w:val="20"/>
          <w:szCs w:val="20"/>
        </w:rPr>
        <w:t xml:space="preserve">      1 hour</w:t>
      </w:r>
    </w:p>
    <w:p w14:paraId="1DB0BD8C" w14:textId="77777777" w:rsidR="00DE1DF9" w:rsidRDefault="00DE1DF9" w:rsidP="00DE1DF9">
      <w:pPr>
        <w:rPr>
          <w:rFonts w:ascii="Arial" w:hAnsi="Arial" w:cs="Arial"/>
          <w:b/>
          <w:sz w:val="20"/>
          <w:szCs w:val="20"/>
        </w:rPr>
      </w:pPr>
    </w:p>
    <w:p w14:paraId="2064692C" w14:textId="77777777" w:rsidR="00DE1DF9" w:rsidRDefault="00DE1DF9" w:rsidP="00DE1DF9">
      <w:pPr>
        <w:pStyle w:val="BodyText"/>
        <w:ind w:left="86"/>
        <w:rPr>
          <w:rFonts w:cs="Arial"/>
          <w:bCs/>
          <w:i/>
          <w:sz w:val="20"/>
          <w:lang w:bidi="en-US"/>
        </w:rPr>
      </w:pPr>
    </w:p>
    <w:p w14:paraId="47237122" w14:textId="77777777" w:rsidR="00DE1DF9" w:rsidRPr="006E30B9" w:rsidRDefault="00DE1DF9" w:rsidP="00DE1DF9">
      <w:pPr>
        <w:pStyle w:val="BodyText"/>
        <w:rPr>
          <w:rFonts w:cs="Arial"/>
          <w:sz w:val="20"/>
        </w:rPr>
      </w:pPr>
      <w:r w:rsidRPr="006E30B9">
        <w:rPr>
          <w:rFonts w:cs="Arial"/>
          <w:sz w:val="20"/>
        </w:rPr>
        <w:t>Topic Designators – activities are related to:</w:t>
      </w:r>
    </w:p>
    <w:p w14:paraId="7132B089" w14:textId="3EAA55A8" w:rsidR="00DE1DF9" w:rsidRPr="00FD63A6" w:rsidRDefault="00DE1DF9" w:rsidP="00DE1DF9">
      <w:pPr>
        <w:pStyle w:val="BodyText"/>
        <w:rPr>
          <w:rFonts w:cs="Arial"/>
          <w:b w:val="0"/>
          <w:sz w:val="20"/>
        </w:rPr>
      </w:pPr>
      <w:r w:rsidRPr="00FD63A6">
        <w:rPr>
          <w:rFonts w:cs="Arial"/>
          <w:b w:val="0"/>
          <w:sz w:val="20"/>
        </w:rPr>
        <w:t xml:space="preserve">If a CPE activity’s target audience is exclusively for </w:t>
      </w:r>
      <w:r w:rsidRPr="00FD63A6">
        <w:rPr>
          <w:rFonts w:cs="Arial"/>
          <w:sz w:val="20"/>
        </w:rPr>
        <w:t>pharmacists,</w:t>
      </w:r>
      <w:r w:rsidRPr="00FD63A6">
        <w:rPr>
          <w:rFonts w:cs="Arial"/>
          <w:b w:val="0"/>
          <w:sz w:val="20"/>
        </w:rPr>
        <w:t xml:space="preserve"> the designation “P” will be</w:t>
      </w:r>
      <w:r>
        <w:rPr>
          <w:rFonts w:cs="Arial"/>
          <w:b w:val="0"/>
          <w:sz w:val="20"/>
        </w:rPr>
        <w:t xml:space="preserve"> </w:t>
      </w:r>
      <w:r w:rsidRPr="00FD63A6">
        <w:rPr>
          <w:rFonts w:cs="Arial"/>
          <w:b w:val="0"/>
          <w:sz w:val="20"/>
        </w:rPr>
        <w:t>used as follows:</w:t>
      </w:r>
      <w:r w:rsidRPr="007A53D6">
        <w:rPr>
          <w:rFonts w:cs="Arial"/>
          <w:b w:val="0"/>
          <w:sz w:val="20"/>
        </w:rPr>
        <w:t xml:space="preserve"> </w:t>
      </w:r>
    </w:p>
    <w:p w14:paraId="40AB6FBB" w14:textId="77777777" w:rsidR="00DE1DF9" w:rsidRDefault="00DE1DF9" w:rsidP="00DE1DF9">
      <w:pPr>
        <w:pStyle w:val="BodyText"/>
        <w:rPr>
          <w:rFonts w:cs="Arial"/>
          <w:b w:val="0"/>
          <w:sz w:val="20"/>
        </w:rPr>
      </w:pPr>
    </w:p>
    <w:p w14:paraId="0BEA2B6F" w14:textId="77777777" w:rsidR="00DE1DF9" w:rsidRDefault="00DE1DF9" w:rsidP="00DE1DF9">
      <w:pPr>
        <w:pStyle w:val="BodyText"/>
        <w:ind w:left="360"/>
        <w:rPr>
          <w:rFonts w:cs="Arial"/>
          <w:b w:val="0"/>
          <w:sz w:val="20"/>
        </w:rPr>
      </w:pP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482C51">
        <w:rPr>
          <w:rFonts w:cs="Arial"/>
          <w:sz w:val="20"/>
          <w:szCs w:val="20"/>
        </w:rPr>
      </w:r>
      <w:r w:rsidR="00482C51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Pr="003C188A">
        <w:rPr>
          <w:rFonts w:cs="Arial"/>
          <w:sz w:val="20"/>
          <w:szCs w:val="20"/>
        </w:rPr>
        <w:t xml:space="preserve"> </w:t>
      </w:r>
      <w:r w:rsidRPr="002C4069">
        <w:rPr>
          <w:rFonts w:cs="Arial"/>
          <w:b w:val="0"/>
          <w:sz w:val="20"/>
        </w:rPr>
        <w:t>01-P Disease State Management/Drug therapy</w:t>
      </w:r>
    </w:p>
    <w:p w14:paraId="3190F447" w14:textId="77777777" w:rsidR="00DE1DF9" w:rsidRDefault="00DE1DF9" w:rsidP="00DE1DF9">
      <w:pPr>
        <w:pStyle w:val="BodyText"/>
        <w:ind w:left="360"/>
        <w:rPr>
          <w:rFonts w:cs="Arial"/>
          <w:b w:val="0"/>
          <w:sz w:val="20"/>
        </w:rPr>
      </w:pPr>
      <w:r w:rsidRPr="003C188A"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cs="Arial"/>
          <w:sz w:val="20"/>
          <w:szCs w:val="20"/>
        </w:rPr>
        <w:instrText xml:space="preserve"> FORMCHECKBOX </w:instrText>
      </w:r>
      <w:r w:rsidR="00482C51">
        <w:rPr>
          <w:rFonts w:cs="Arial"/>
          <w:sz w:val="20"/>
          <w:szCs w:val="20"/>
        </w:rPr>
      </w:r>
      <w:r w:rsidR="00482C51">
        <w:rPr>
          <w:rFonts w:cs="Arial"/>
          <w:sz w:val="20"/>
          <w:szCs w:val="20"/>
        </w:rPr>
        <w:fldChar w:fldCharType="separate"/>
      </w:r>
      <w:r w:rsidRPr="003C188A">
        <w:rPr>
          <w:rFonts w:cs="Arial"/>
          <w:sz w:val="20"/>
          <w:szCs w:val="20"/>
        </w:rPr>
        <w:fldChar w:fldCharType="end"/>
      </w:r>
      <w:r w:rsidRPr="003C188A">
        <w:rPr>
          <w:rFonts w:cs="Arial"/>
          <w:sz w:val="20"/>
          <w:szCs w:val="20"/>
        </w:rPr>
        <w:t xml:space="preserve"> </w:t>
      </w:r>
      <w:r w:rsidRPr="00FD63A6">
        <w:rPr>
          <w:rFonts w:cs="Arial"/>
          <w:b w:val="0"/>
          <w:sz w:val="20"/>
        </w:rPr>
        <w:t>02-P AIDS therapy</w:t>
      </w:r>
    </w:p>
    <w:p w14:paraId="20F80F0D" w14:textId="77777777" w:rsidR="00DE1DF9" w:rsidRDefault="00DE1DF9" w:rsidP="00DE1DF9">
      <w:pPr>
        <w:pStyle w:val="BodyText"/>
        <w:ind w:left="360"/>
        <w:rPr>
          <w:rFonts w:cs="Arial"/>
          <w:b w:val="0"/>
          <w:sz w:val="20"/>
        </w:rPr>
      </w:pPr>
      <w:r w:rsidRPr="003C188A"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cs="Arial"/>
          <w:sz w:val="20"/>
          <w:szCs w:val="20"/>
        </w:rPr>
        <w:instrText xml:space="preserve"> FORMCHECKBOX </w:instrText>
      </w:r>
      <w:r w:rsidR="00482C51">
        <w:rPr>
          <w:rFonts w:cs="Arial"/>
          <w:sz w:val="20"/>
          <w:szCs w:val="20"/>
        </w:rPr>
      </w:r>
      <w:r w:rsidR="00482C51">
        <w:rPr>
          <w:rFonts w:cs="Arial"/>
          <w:sz w:val="20"/>
          <w:szCs w:val="20"/>
        </w:rPr>
        <w:fldChar w:fldCharType="separate"/>
      </w:r>
      <w:r w:rsidRPr="003C188A">
        <w:rPr>
          <w:rFonts w:cs="Arial"/>
          <w:sz w:val="20"/>
          <w:szCs w:val="20"/>
        </w:rPr>
        <w:fldChar w:fldCharType="end"/>
      </w:r>
      <w:r w:rsidRPr="003C188A">
        <w:rPr>
          <w:rFonts w:cs="Arial"/>
          <w:sz w:val="20"/>
          <w:szCs w:val="20"/>
        </w:rPr>
        <w:t xml:space="preserve"> </w:t>
      </w:r>
      <w:r w:rsidRPr="00FD05F9">
        <w:rPr>
          <w:rFonts w:cs="Arial"/>
          <w:b w:val="0"/>
          <w:sz w:val="20"/>
        </w:rPr>
        <w:t>03-P Law (related to pharmacy practice)</w:t>
      </w:r>
    </w:p>
    <w:p w14:paraId="67663598" w14:textId="77777777" w:rsidR="00DE1DF9" w:rsidRDefault="00DE1DF9" w:rsidP="00DE1DF9">
      <w:pPr>
        <w:pStyle w:val="BodyText"/>
        <w:ind w:left="360"/>
        <w:rPr>
          <w:rFonts w:cs="Arial"/>
          <w:b w:val="0"/>
          <w:sz w:val="20"/>
        </w:rPr>
      </w:pPr>
      <w:r w:rsidRPr="003C188A"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cs="Arial"/>
          <w:sz w:val="20"/>
          <w:szCs w:val="20"/>
        </w:rPr>
        <w:instrText xml:space="preserve"> FORMCHECKBOX </w:instrText>
      </w:r>
      <w:r w:rsidR="00482C51">
        <w:rPr>
          <w:rFonts w:cs="Arial"/>
          <w:sz w:val="20"/>
          <w:szCs w:val="20"/>
        </w:rPr>
      </w:r>
      <w:r w:rsidR="00482C51">
        <w:rPr>
          <w:rFonts w:cs="Arial"/>
          <w:sz w:val="20"/>
          <w:szCs w:val="20"/>
        </w:rPr>
        <w:fldChar w:fldCharType="separate"/>
      </w:r>
      <w:r w:rsidRPr="003C188A">
        <w:rPr>
          <w:rFonts w:cs="Arial"/>
          <w:sz w:val="20"/>
          <w:szCs w:val="20"/>
        </w:rPr>
        <w:fldChar w:fldCharType="end"/>
      </w:r>
      <w:r w:rsidRPr="003C188A">
        <w:rPr>
          <w:rFonts w:cs="Arial"/>
          <w:sz w:val="20"/>
          <w:szCs w:val="20"/>
        </w:rPr>
        <w:t xml:space="preserve"> </w:t>
      </w:r>
      <w:r w:rsidRPr="00FD05F9">
        <w:rPr>
          <w:rFonts w:cs="Arial"/>
          <w:b w:val="0"/>
          <w:sz w:val="20"/>
        </w:rPr>
        <w:t>04-P General Pharmacy</w:t>
      </w:r>
    </w:p>
    <w:p w14:paraId="5722FA2F" w14:textId="77777777" w:rsidR="00DE1DF9" w:rsidRDefault="00DE1DF9" w:rsidP="00DE1DF9">
      <w:pPr>
        <w:pStyle w:val="BodyText"/>
        <w:ind w:left="360"/>
        <w:rPr>
          <w:rFonts w:cs="Arial"/>
          <w:b w:val="0"/>
          <w:sz w:val="20"/>
        </w:rPr>
      </w:pPr>
      <w:r w:rsidRPr="003C188A"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cs="Arial"/>
          <w:sz w:val="20"/>
          <w:szCs w:val="20"/>
        </w:rPr>
        <w:instrText xml:space="preserve"> FORMCHECKBOX </w:instrText>
      </w:r>
      <w:r w:rsidR="00482C51">
        <w:rPr>
          <w:rFonts w:cs="Arial"/>
          <w:sz w:val="20"/>
          <w:szCs w:val="20"/>
        </w:rPr>
      </w:r>
      <w:r w:rsidR="00482C51">
        <w:rPr>
          <w:rFonts w:cs="Arial"/>
          <w:sz w:val="20"/>
          <w:szCs w:val="20"/>
        </w:rPr>
        <w:fldChar w:fldCharType="separate"/>
      </w:r>
      <w:r w:rsidRPr="003C188A">
        <w:rPr>
          <w:rFonts w:cs="Arial"/>
          <w:sz w:val="20"/>
          <w:szCs w:val="20"/>
        </w:rPr>
        <w:fldChar w:fldCharType="end"/>
      </w:r>
      <w:r w:rsidRPr="003C188A">
        <w:rPr>
          <w:rFonts w:cs="Arial"/>
          <w:sz w:val="20"/>
          <w:szCs w:val="20"/>
        </w:rPr>
        <w:t xml:space="preserve"> </w:t>
      </w:r>
      <w:r w:rsidRPr="00FD63A6">
        <w:rPr>
          <w:rFonts w:cs="Arial"/>
          <w:b w:val="0"/>
          <w:sz w:val="20"/>
        </w:rPr>
        <w:t>05-P Patient Safety</w:t>
      </w:r>
    </w:p>
    <w:p w14:paraId="73E4C17A" w14:textId="77777777" w:rsidR="00DE1DF9" w:rsidRDefault="00DE1DF9" w:rsidP="00DE1DF9">
      <w:pPr>
        <w:pStyle w:val="BodyText"/>
        <w:ind w:left="360"/>
        <w:rPr>
          <w:rFonts w:cs="Arial"/>
          <w:b w:val="0"/>
          <w:sz w:val="20"/>
        </w:rPr>
      </w:pPr>
      <w:r w:rsidRPr="003C188A"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cs="Arial"/>
          <w:sz w:val="20"/>
          <w:szCs w:val="20"/>
        </w:rPr>
        <w:instrText xml:space="preserve"> FORMCHECKBOX </w:instrText>
      </w:r>
      <w:r w:rsidR="00482C51">
        <w:rPr>
          <w:rFonts w:cs="Arial"/>
          <w:sz w:val="20"/>
          <w:szCs w:val="20"/>
        </w:rPr>
      </w:r>
      <w:r w:rsidR="00482C51">
        <w:rPr>
          <w:rFonts w:cs="Arial"/>
          <w:sz w:val="20"/>
          <w:szCs w:val="20"/>
        </w:rPr>
        <w:fldChar w:fldCharType="separate"/>
      </w:r>
      <w:r w:rsidRPr="003C188A">
        <w:rPr>
          <w:rFonts w:cs="Arial"/>
          <w:sz w:val="20"/>
          <w:szCs w:val="20"/>
        </w:rPr>
        <w:fldChar w:fldCharType="end"/>
      </w:r>
      <w:r w:rsidRPr="003C188A">
        <w:rPr>
          <w:rFonts w:cs="Arial"/>
          <w:sz w:val="20"/>
          <w:szCs w:val="20"/>
        </w:rPr>
        <w:t xml:space="preserve"> </w:t>
      </w:r>
      <w:r w:rsidRPr="000D6C64">
        <w:rPr>
          <w:rFonts w:cs="Arial"/>
          <w:b w:val="0"/>
          <w:sz w:val="20"/>
        </w:rPr>
        <w:t>06-P Immunizations</w:t>
      </w:r>
    </w:p>
    <w:p w14:paraId="29DF4E72" w14:textId="77777777" w:rsidR="00DE1DF9" w:rsidRDefault="00DE1DF9" w:rsidP="00DE1DF9">
      <w:pPr>
        <w:pStyle w:val="BodyText"/>
        <w:ind w:left="360"/>
        <w:rPr>
          <w:rFonts w:cs="Arial"/>
          <w:b w:val="0"/>
          <w:sz w:val="20"/>
        </w:rPr>
      </w:pPr>
      <w:r w:rsidRPr="003C188A"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cs="Arial"/>
          <w:sz w:val="20"/>
          <w:szCs w:val="20"/>
        </w:rPr>
        <w:instrText xml:space="preserve"> FORMCHECKBOX </w:instrText>
      </w:r>
      <w:r w:rsidR="00482C51">
        <w:rPr>
          <w:rFonts w:cs="Arial"/>
          <w:sz w:val="20"/>
          <w:szCs w:val="20"/>
        </w:rPr>
      </w:r>
      <w:r w:rsidR="00482C51">
        <w:rPr>
          <w:rFonts w:cs="Arial"/>
          <w:sz w:val="20"/>
          <w:szCs w:val="20"/>
        </w:rPr>
        <w:fldChar w:fldCharType="separate"/>
      </w:r>
      <w:r w:rsidRPr="003C188A">
        <w:rPr>
          <w:rFonts w:cs="Arial"/>
          <w:sz w:val="20"/>
          <w:szCs w:val="20"/>
        </w:rPr>
        <w:fldChar w:fldCharType="end"/>
      </w:r>
      <w:r w:rsidRPr="003C188A">
        <w:rPr>
          <w:rFonts w:cs="Arial"/>
          <w:sz w:val="20"/>
          <w:szCs w:val="20"/>
        </w:rPr>
        <w:t xml:space="preserve"> </w:t>
      </w:r>
      <w:r w:rsidRPr="00FD63A6">
        <w:rPr>
          <w:rFonts w:cs="Arial"/>
          <w:b w:val="0"/>
          <w:sz w:val="20"/>
        </w:rPr>
        <w:t>07-P Compounding</w:t>
      </w:r>
    </w:p>
    <w:p w14:paraId="76D13F41" w14:textId="148686BC" w:rsidR="00DE1DF9" w:rsidRPr="007C78AC" w:rsidRDefault="00DE1DF9" w:rsidP="00DE1DF9">
      <w:pPr>
        <w:pStyle w:val="BodyText"/>
        <w:ind w:left="360"/>
        <w:rPr>
          <w:rFonts w:cs="Arial"/>
          <w:b w:val="0"/>
          <w:sz w:val="20"/>
        </w:rPr>
      </w:pPr>
      <w:r w:rsidRPr="003C188A"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C188A">
        <w:rPr>
          <w:rFonts w:cs="Arial"/>
          <w:sz w:val="20"/>
          <w:szCs w:val="20"/>
        </w:rPr>
        <w:instrText xml:space="preserve"> FORMCHECKBOX </w:instrText>
      </w:r>
      <w:r w:rsidR="00482C51">
        <w:rPr>
          <w:rFonts w:cs="Arial"/>
          <w:sz w:val="20"/>
          <w:szCs w:val="20"/>
        </w:rPr>
      </w:r>
      <w:r w:rsidR="00482C51">
        <w:rPr>
          <w:rFonts w:cs="Arial"/>
          <w:sz w:val="20"/>
          <w:szCs w:val="20"/>
        </w:rPr>
        <w:fldChar w:fldCharType="separate"/>
      </w:r>
      <w:r w:rsidRPr="003C188A">
        <w:rPr>
          <w:rFonts w:cs="Arial"/>
          <w:sz w:val="20"/>
          <w:szCs w:val="20"/>
        </w:rPr>
        <w:fldChar w:fldCharType="end"/>
      </w:r>
      <w:r w:rsidRPr="003C188A">
        <w:rPr>
          <w:rFonts w:cs="Arial"/>
          <w:sz w:val="20"/>
          <w:szCs w:val="20"/>
        </w:rPr>
        <w:t xml:space="preserve"> </w:t>
      </w:r>
      <w:r>
        <w:rPr>
          <w:rFonts w:cs="Arial"/>
          <w:b w:val="0"/>
          <w:sz w:val="20"/>
        </w:rPr>
        <w:t xml:space="preserve">08-P </w:t>
      </w:r>
      <w:r w:rsidR="000104B2" w:rsidRPr="000104B2">
        <w:rPr>
          <w:rFonts w:cs="Arial"/>
          <w:b w:val="0"/>
          <w:sz w:val="20"/>
        </w:rPr>
        <w:t>Pain Management/Opioids</w:t>
      </w:r>
    </w:p>
    <w:p w14:paraId="564EB085" w14:textId="77777777" w:rsidR="00B777C5" w:rsidRPr="00DE1DF9" w:rsidRDefault="00B777C5" w:rsidP="43A9114B">
      <w:pPr>
        <w:spacing w:after="200" w:line="276" w:lineRule="auto"/>
        <w:rPr>
          <w:rFonts w:ascii="Arial" w:hAnsi="Arial" w:cs="Arial"/>
          <w:b/>
          <w:bCs/>
        </w:rPr>
      </w:pPr>
    </w:p>
    <w:p w14:paraId="1C568EA1" w14:textId="7E502557" w:rsidR="43A9114B" w:rsidRDefault="43A9114B" w:rsidP="43A9114B">
      <w:pPr>
        <w:spacing w:after="200" w:line="276" w:lineRule="auto"/>
        <w:rPr>
          <w:rFonts w:ascii="Arial" w:hAnsi="Arial" w:cs="Arial"/>
          <w:b/>
          <w:bCs/>
        </w:rPr>
      </w:pPr>
    </w:p>
    <w:p w14:paraId="688E3BF2" w14:textId="72D05DC4" w:rsidR="43A9114B" w:rsidRDefault="00482C51" w:rsidP="43A9114B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DE1DF9">
        <w:rPr>
          <w:rFonts w:ascii="Arial" w:hAnsi="Arial" w:cs="Arial"/>
          <w:b/>
          <w:sz w:val="20"/>
          <w:szCs w:val="20"/>
          <w:u w:val="single"/>
        </w:rPr>
        <w:t>A</w:t>
      </w:r>
      <w:r>
        <w:rPr>
          <w:rFonts w:ascii="Arial" w:hAnsi="Arial" w:cs="Arial"/>
          <w:b/>
          <w:sz w:val="20"/>
          <w:szCs w:val="20"/>
          <w:u w:val="single"/>
        </w:rPr>
        <w:t>udience Questions:</w:t>
      </w:r>
    </w:p>
    <w:p w14:paraId="2F12212E" w14:textId="77777777" w:rsidR="00482C51" w:rsidRPr="00482C51" w:rsidRDefault="00482C51" w:rsidP="00482C5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position w:val="1"/>
          <w:sz w:val="22"/>
          <w:szCs w:val="22"/>
        </w:rPr>
        <w:t xml:space="preserve">Which of the following is a risk of CMV infection in HCT </w:t>
      </w:r>
      <w:proofErr w:type="gramStart"/>
      <w:r w:rsidRPr="00482C51">
        <w:rPr>
          <w:rStyle w:val="normaltextrun"/>
          <w:color w:val="000000"/>
          <w:position w:val="1"/>
          <w:sz w:val="22"/>
          <w:szCs w:val="22"/>
        </w:rPr>
        <w:t>patients?</w:t>
      </w:r>
      <w:r w:rsidRPr="00482C51">
        <w:rPr>
          <w:rStyle w:val="eop"/>
          <w:sz w:val="22"/>
          <w:szCs w:val="22"/>
        </w:rPr>
        <w:t>​</w:t>
      </w:r>
      <w:proofErr w:type="gramEnd"/>
    </w:p>
    <w:p w14:paraId="658FB2C8" w14:textId="77777777" w:rsidR="00482C51" w:rsidRPr="00482C51" w:rsidRDefault="00482C51" w:rsidP="00482C5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position w:val="1"/>
          <w:sz w:val="22"/>
          <w:szCs w:val="22"/>
        </w:rPr>
        <w:t>Retinitis</w:t>
      </w:r>
      <w:r w:rsidRPr="00482C51">
        <w:rPr>
          <w:rStyle w:val="eop"/>
          <w:sz w:val="22"/>
          <w:szCs w:val="22"/>
        </w:rPr>
        <w:t>​</w:t>
      </w:r>
    </w:p>
    <w:p w14:paraId="54CA9106" w14:textId="77777777" w:rsidR="00482C51" w:rsidRPr="00482C51" w:rsidRDefault="00482C51" w:rsidP="00482C5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position w:val="1"/>
          <w:sz w:val="22"/>
          <w:szCs w:val="22"/>
        </w:rPr>
        <w:t>End organ damage</w:t>
      </w:r>
      <w:r w:rsidRPr="00482C51">
        <w:rPr>
          <w:rStyle w:val="eop"/>
          <w:sz w:val="22"/>
          <w:szCs w:val="22"/>
        </w:rPr>
        <w:t>​</w:t>
      </w:r>
    </w:p>
    <w:p w14:paraId="7A2A825F" w14:textId="77777777" w:rsidR="00482C51" w:rsidRPr="00482C51" w:rsidRDefault="00482C51" w:rsidP="00482C5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position w:val="1"/>
          <w:sz w:val="22"/>
          <w:szCs w:val="22"/>
        </w:rPr>
        <w:t>Rejection of the graft</w:t>
      </w:r>
      <w:r w:rsidRPr="00482C51">
        <w:rPr>
          <w:rStyle w:val="eop"/>
          <w:sz w:val="22"/>
          <w:szCs w:val="22"/>
        </w:rPr>
        <w:t>​</w:t>
      </w:r>
    </w:p>
    <w:p w14:paraId="4BD865A1" w14:textId="77777777" w:rsidR="00482C51" w:rsidRPr="00482C51" w:rsidRDefault="00482C51" w:rsidP="00482C5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82C51">
        <w:rPr>
          <w:rStyle w:val="advancedproofingissue"/>
          <w:bCs/>
          <w:position w:val="1"/>
          <w:sz w:val="22"/>
          <w:szCs w:val="22"/>
        </w:rPr>
        <w:t>All of</w:t>
      </w:r>
      <w:r w:rsidRPr="00482C51">
        <w:rPr>
          <w:rStyle w:val="normaltextrun"/>
          <w:bCs/>
          <w:position w:val="1"/>
          <w:sz w:val="22"/>
          <w:szCs w:val="22"/>
        </w:rPr>
        <w:t> the above</w:t>
      </w:r>
      <w:r w:rsidRPr="00482C51">
        <w:rPr>
          <w:rStyle w:val="eop"/>
          <w:sz w:val="22"/>
          <w:szCs w:val="22"/>
        </w:rPr>
        <w:t>​</w:t>
      </w:r>
    </w:p>
    <w:p w14:paraId="47BFB9B7" w14:textId="77777777" w:rsidR="00482C51" w:rsidRPr="00482C51" w:rsidRDefault="00482C51" w:rsidP="00482C5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sz w:val="22"/>
          <w:szCs w:val="22"/>
        </w:rPr>
      </w:pPr>
    </w:p>
    <w:p w14:paraId="21446E5C" w14:textId="77777777" w:rsidR="00482C51" w:rsidRPr="00482C51" w:rsidRDefault="00482C51" w:rsidP="00482C5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position w:val="1"/>
          <w:sz w:val="22"/>
          <w:szCs w:val="22"/>
        </w:rPr>
        <w:t xml:space="preserve">What is the recommended agent for CMV prophylaxis in CMV seropositive allogeneic HCT recipients, based on the 2021 American Society for Transplantation and Cellular Therapy (ASTCT) </w:t>
      </w:r>
      <w:proofErr w:type="gramStart"/>
      <w:r w:rsidRPr="00482C51">
        <w:rPr>
          <w:rStyle w:val="normaltextrun"/>
          <w:color w:val="000000"/>
          <w:position w:val="1"/>
          <w:sz w:val="22"/>
          <w:szCs w:val="22"/>
        </w:rPr>
        <w:t>guidelines?</w:t>
      </w:r>
      <w:r w:rsidRPr="00482C51">
        <w:rPr>
          <w:rStyle w:val="eop"/>
          <w:sz w:val="22"/>
          <w:szCs w:val="22"/>
        </w:rPr>
        <w:t>​</w:t>
      </w:r>
      <w:proofErr w:type="gramEnd"/>
    </w:p>
    <w:p w14:paraId="594A80D5" w14:textId="77777777" w:rsidR="00482C51" w:rsidRPr="00482C51" w:rsidRDefault="00482C51" w:rsidP="00482C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position w:val="1"/>
          <w:sz w:val="22"/>
          <w:szCs w:val="22"/>
        </w:rPr>
        <w:t>Valganciclovir </w:t>
      </w:r>
      <w:r w:rsidRPr="00482C51">
        <w:rPr>
          <w:rStyle w:val="eop"/>
          <w:sz w:val="22"/>
          <w:szCs w:val="22"/>
        </w:rPr>
        <w:t>​</w:t>
      </w:r>
    </w:p>
    <w:p w14:paraId="1A3D5B2D" w14:textId="77777777" w:rsidR="00482C51" w:rsidRPr="00482C51" w:rsidRDefault="00482C51" w:rsidP="00482C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bCs/>
          <w:sz w:val="22"/>
          <w:szCs w:val="22"/>
        </w:rPr>
      </w:pPr>
      <w:proofErr w:type="spellStart"/>
      <w:r w:rsidRPr="00482C51">
        <w:rPr>
          <w:rStyle w:val="spellingerror"/>
          <w:color w:val="000000"/>
          <w:position w:val="1"/>
          <w:sz w:val="22"/>
          <w:szCs w:val="22"/>
        </w:rPr>
        <w:t>Maribavir</w:t>
      </w:r>
      <w:proofErr w:type="spellEnd"/>
      <w:r w:rsidRPr="00482C51">
        <w:rPr>
          <w:rStyle w:val="eop"/>
          <w:sz w:val="22"/>
          <w:szCs w:val="22"/>
        </w:rPr>
        <w:t>​</w:t>
      </w:r>
    </w:p>
    <w:p w14:paraId="3EDF8120" w14:textId="77777777" w:rsidR="00482C51" w:rsidRPr="00482C51" w:rsidRDefault="00482C51" w:rsidP="00482C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bCs/>
          <w:sz w:val="22"/>
          <w:szCs w:val="22"/>
        </w:rPr>
      </w:pPr>
      <w:proofErr w:type="spellStart"/>
      <w:r w:rsidRPr="00482C51">
        <w:rPr>
          <w:rStyle w:val="spellingerror"/>
          <w:bCs/>
          <w:color w:val="000000"/>
          <w:position w:val="1"/>
          <w:sz w:val="22"/>
          <w:szCs w:val="22"/>
        </w:rPr>
        <w:t>Letermovir</w:t>
      </w:r>
      <w:proofErr w:type="spellEnd"/>
      <w:r w:rsidRPr="00482C51">
        <w:rPr>
          <w:rStyle w:val="eop"/>
          <w:bCs/>
          <w:sz w:val="22"/>
          <w:szCs w:val="22"/>
        </w:rPr>
        <w:t>​</w:t>
      </w:r>
    </w:p>
    <w:p w14:paraId="1F696FCF" w14:textId="77777777" w:rsidR="00482C51" w:rsidRPr="00482C51" w:rsidRDefault="00482C51" w:rsidP="00482C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proofErr w:type="spellStart"/>
      <w:r w:rsidRPr="00482C51">
        <w:rPr>
          <w:rStyle w:val="normaltextrun"/>
          <w:color w:val="000000"/>
          <w:position w:val="1"/>
          <w:sz w:val="22"/>
          <w:szCs w:val="22"/>
        </w:rPr>
        <w:t>Foscarnet</w:t>
      </w:r>
      <w:proofErr w:type="spellEnd"/>
      <w:r w:rsidRPr="00482C51">
        <w:rPr>
          <w:rStyle w:val="eop"/>
          <w:sz w:val="22"/>
          <w:szCs w:val="22"/>
        </w:rPr>
        <w:t>​</w:t>
      </w:r>
    </w:p>
    <w:p w14:paraId="2AF3211B" w14:textId="77777777" w:rsidR="00482C51" w:rsidRPr="00482C51" w:rsidRDefault="00482C51" w:rsidP="00482C51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14:paraId="4C49D888" w14:textId="77777777" w:rsidR="00482C51" w:rsidRPr="00482C51" w:rsidRDefault="00482C51" w:rsidP="00482C5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position w:val="1"/>
          <w:sz w:val="22"/>
          <w:szCs w:val="22"/>
        </w:rPr>
        <w:t>Which of the following is true regarding </w:t>
      </w:r>
      <w:proofErr w:type="spellStart"/>
      <w:proofErr w:type="gramStart"/>
      <w:r w:rsidRPr="00482C51">
        <w:rPr>
          <w:rStyle w:val="spellingerror"/>
          <w:color w:val="000000"/>
          <w:position w:val="1"/>
          <w:sz w:val="22"/>
          <w:szCs w:val="22"/>
        </w:rPr>
        <w:t>maribavir</w:t>
      </w:r>
      <w:proofErr w:type="spellEnd"/>
      <w:r w:rsidRPr="00482C51">
        <w:rPr>
          <w:rStyle w:val="normaltextrun"/>
          <w:color w:val="000000"/>
          <w:position w:val="1"/>
          <w:sz w:val="22"/>
          <w:szCs w:val="22"/>
        </w:rPr>
        <w:t>?</w:t>
      </w:r>
      <w:r w:rsidRPr="00482C51">
        <w:rPr>
          <w:rStyle w:val="eop"/>
          <w:sz w:val="22"/>
          <w:szCs w:val="22"/>
        </w:rPr>
        <w:t>​</w:t>
      </w:r>
      <w:proofErr w:type="gramEnd"/>
    </w:p>
    <w:p w14:paraId="4804BD6F" w14:textId="77777777" w:rsidR="00482C51" w:rsidRPr="00482C51" w:rsidRDefault="00482C51" w:rsidP="00482C5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sz w:val="22"/>
          <w:szCs w:val="22"/>
        </w:rPr>
        <w:t>It is contraindicated in patients &lt; 8 years old</w:t>
      </w:r>
      <w:r w:rsidRPr="00482C51">
        <w:rPr>
          <w:rStyle w:val="eop"/>
          <w:sz w:val="22"/>
          <w:szCs w:val="22"/>
        </w:rPr>
        <w:t>​</w:t>
      </w:r>
    </w:p>
    <w:p w14:paraId="78E437F8" w14:textId="77777777" w:rsidR="00482C51" w:rsidRPr="00482C51" w:rsidRDefault="00482C51" w:rsidP="00482C5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bCs/>
          <w:color w:val="000000"/>
          <w:sz w:val="22"/>
          <w:szCs w:val="22"/>
        </w:rPr>
        <w:t>It is FDA approved in pediatric patients ≥ 12 years of age weighing ≥ 35 kg and adults</w:t>
      </w:r>
      <w:r w:rsidRPr="00482C51">
        <w:rPr>
          <w:rStyle w:val="eop"/>
          <w:sz w:val="22"/>
          <w:szCs w:val="22"/>
        </w:rPr>
        <w:t>​</w:t>
      </w:r>
    </w:p>
    <w:p w14:paraId="66440D78" w14:textId="77777777" w:rsidR="00482C51" w:rsidRPr="00482C51" w:rsidRDefault="00482C51" w:rsidP="00482C5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82C51">
        <w:rPr>
          <w:rStyle w:val="normaltextrun"/>
          <w:color w:val="000000"/>
          <w:sz w:val="22"/>
          <w:szCs w:val="22"/>
        </w:rPr>
        <w:t>It is associated with bone marrow suppression</w:t>
      </w:r>
      <w:r w:rsidRPr="00482C51">
        <w:rPr>
          <w:rStyle w:val="eop"/>
          <w:sz w:val="22"/>
          <w:szCs w:val="22"/>
        </w:rPr>
        <w:t>​</w:t>
      </w:r>
    </w:p>
    <w:p w14:paraId="5BC58F7B" w14:textId="77777777" w:rsidR="00482C51" w:rsidRDefault="00482C51" w:rsidP="00482C5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482C51">
        <w:rPr>
          <w:rStyle w:val="normaltextrun"/>
          <w:color w:val="000000"/>
          <w:sz w:val="22"/>
          <w:szCs w:val="22"/>
        </w:rPr>
        <w:t>It is an antiretroviral agent</w:t>
      </w:r>
      <w:r>
        <w:rPr>
          <w:rStyle w:val="normaltextrun"/>
          <w:rFonts w:ascii="Euphemia" w:hAnsi="Euphemia" w:cs="Arial"/>
          <w:color w:val="000000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​</w:t>
      </w:r>
    </w:p>
    <w:p w14:paraId="003D9E24" w14:textId="77777777" w:rsidR="00482C51" w:rsidRDefault="00482C51" w:rsidP="43A9114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sz w:val="22"/>
          <w:szCs w:val="22"/>
          <w:u w:val="single"/>
        </w:rPr>
      </w:pPr>
      <w:bookmarkStart w:id="2" w:name="_GoBack"/>
      <w:bookmarkEnd w:id="2"/>
    </w:p>
    <w:p w14:paraId="43FF2208" w14:textId="5E01A5AC" w:rsidR="56E03558" w:rsidRDefault="56E03558" w:rsidP="43A9114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sz w:val="22"/>
          <w:szCs w:val="22"/>
          <w:u w:val="single"/>
        </w:rPr>
      </w:pPr>
      <w:r w:rsidRPr="43A9114B">
        <w:rPr>
          <w:rStyle w:val="Strong"/>
          <w:rFonts w:asciiTheme="minorHAnsi" w:hAnsiTheme="minorHAnsi" w:cstheme="minorBidi"/>
          <w:sz w:val="22"/>
          <w:szCs w:val="22"/>
          <w:u w:val="single"/>
        </w:rPr>
        <w:t>References:</w:t>
      </w:r>
    </w:p>
    <w:p w14:paraId="6E589EFB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E875F5">
        <w:rPr>
          <w:rStyle w:val="normaltextrun"/>
          <w:color w:val="212121"/>
          <w:sz w:val="22"/>
          <w:szCs w:val="22"/>
        </w:rPr>
        <w:t>Hakki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M, Aitken SL, Danziger-Isakov L, Michaels MG, Carpenter PA,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Chemaly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RF, Papanicolaou GA,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Boeckh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M, Marty FM. American Society for Transplantation and Cellular Therapy Series: #3-Prevention of Cytomegalovirus Infection and Disease After Hematopoietic Cell Transplantation. </w:t>
      </w:r>
      <w:r w:rsidRPr="00E875F5">
        <w:rPr>
          <w:rStyle w:val="normaltextrun"/>
          <w:i/>
          <w:iCs/>
          <w:color w:val="212121"/>
          <w:sz w:val="22"/>
          <w:szCs w:val="22"/>
        </w:rPr>
        <w:t xml:space="preserve">Transplant Cell </w:t>
      </w:r>
      <w:proofErr w:type="spellStart"/>
      <w:r w:rsidRPr="00E875F5">
        <w:rPr>
          <w:rStyle w:val="normaltextrun"/>
          <w:i/>
          <w:iCs/>
          <w:color w:val="212121"/>
          <w:sz w:val="22"/>
          <w:szCs w:val="22"/>
        </w:rPr>
        <w:t>Ther</w:t>
      </w:r>
      <w:proofErr w:type="spellEnd"/>
      <w:r w:rsidRPr="00E875F5">
        <w:rPr>
          <w:rStyle w:val="normaltextrun"/>
          <w:color w:val="212121"/>
          <w:sz w:val="22"/>
          <w:szCs w:val="22"/>
        </w:rPr>
        <w:t>. 2021 Sep;27(9):707-719.</w:t>
      </w:r>
      <w:r w:rsidRPr="00E875F5">
        <w:rPr>
          <w:rStyle w:val="eop"/>
          <w:color w:val="212121"/>
          <w:sz w:val="22"/>
          <w:szCs w:val="22"/>
        </w:rPr>
        <w:t> </w:t>
      </w:r>
    </w:p>
    <w:p w14:paraId="58D7FDD7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212121"/>
          <w:sz w:val="22"/>
          <w:szCs w:val="22"/>
        </w:rPr>
        <w:t xml:space="preserve">Yong MK,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Shigle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TL, Kim YJ, Carpenter PA,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Chemaly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RF, Papanicolaou GA. American Society for Transplantation and Cellular Therapy Series: #4 - Cytomegalovirus treatment and management of resistant or refractory infections after hematopoietic cell transplantation</w:t>
      </w:r>
      <w:r w:rsidRPr="00E875F5">
        <w:rPr>
          <w:rStyle w:val="normaltextrun"/>
          <w:i/>
          <w:iCs/>
          <w:color w:val="212121"/>
          <w:sz w:val="22"/>
          <w:szCs w:val="22"/>
        </w:rPr>
        <w:t xml:space="preserve">. Transplant Cell </w:t>
      </w:r>
      <w:proofErr w:type="spellStart"/>
      <w:r w:rsidRPr="00E875F5">
        <w:rPr>
          <w:rStyle w:val="normaltextrun"/>
          <w:i/>
          <w:iCs/>
          <w:color w:val="212121"/>
          <w:sz w:val="22"/>
          <w:szCs w:val="22"/>
        </w:rPr>
        <w:t>Ther</w:t>
      </w:r>
      <w:proofErr w:type="spellEnd"/>
      <w:r w:rsidRPr="00E875F5">
        <w:rPr>
          <w:rStyle w:val="normaltextrun"/>
          <w:i/>
          <w:iCs/>
          <w:color w:val="212121"/>
          <w:sz w:val="22"/>
          <w:szCs w:val="22"/>
        </w:rPr>
        <w:t>.</w:t>
      </w:r>
      <w:r w:rsidRPr="00E875F5">
        <w:rPr>
          <w:rStyle w:val="normaltextrun"/>
          <w:color w:val="212121"/>
          <w:sz w:val="22"/>
          <w:szCs w:val="22"/>
        </w:rPr>
        <w:t xml:space="preserve"> 2021 Dec;27(12):957-967. </w:t>
      </w:r>
      <w:r w:rsidRPr="00E875F5">
        <w:rPr>
          <w:rStyle w:val="normaltextrun"/>
          <w:sz w:val="22"/>
          <w:szCs w:val="22"/>
        </w:rPr>
        <w:t> </w:t>
      </w:r>
      <w:r w:rsidRPr="00E875F5">
        <w:rPr>
          <w:rStyle w:val="eop"/>
          <w:sz w:val="22"/>
          <w:szCs w:val="22"/>
        </w:rPr>
        <w:t> </w:t>
      </w:r>
    </w:p>
    <w:p w14:paraId="71320847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000000"/>
          <w:sz w:val="22"/>
          <w:szCs w:val="22"/>
        </w:rPr>
        <w:t xml:space="preserve">Centers for Disease Control and Prevention. About Cytomegalovirus (CMV). 2020. </w:t>
      </w:r>
      <w:r w:rsidRPr="00E875F5">
        <w:rPr>
          <w:rStyle w:val="normaltextrun"/>
          <w:sz w:val="22"/>
          <w:szCs w:val="22"/>
        </w:rPr>
        <w:t>https://www.cdc.gov/cmv/overview.html</w:t>
      </w:r>
      <w:r w:rsidRPr="00E875F5">
        <w:rPr>
          <w:rStyle w:val="normaltextrun"/>
          <w:color w:val="000000"/>
          <w:sz w:val="22"/>
          <w:szCs w:val="22"/>
        </w:rPr>
        <w:t>. Accessed 11 Dec 2022.</w:t>
      </w:r>
      <w:r w:rsidRPr="00E875F5">
        <w:rPr>
          <w:rStyle w:val="eop"/>
          <w:color w:val="000000"/>
          <w:sz w:val="22"/>
          <w:szCs w:val="22"/>
        </w:rPr>
        <w:t> </w:t>
      </w:r>
    </w:p>
    <w:p w14:paraId="27749091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212121"/>
          <w:sz w:val="22"/>
          <w:szCs w:val="22"/>
        </w:rPr>
        <w:t xml:space="preserve">Green ML,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Leisenring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W,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Xie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H, Mast TC, Cui Y,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Sandmaier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BM,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Sorror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ML, Goyal S,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Özkök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S, Yi J, Sahoo F, Kimball LE, Jerome KR, Marks MA,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Boeckh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M. Cytomegalovirus viral load and mortality after haemopoietic stem cell transplantation in the era of pre-emptive therapy: a retrospective cohort study. </w:t>
      </w:r>
      <w:r w:rsidRPr="00E875F5">
        <w:rPr>
          <w:rStyle w:val="normaltextrun"/>
          <w:i/>
          <w:iCs/>
          <w:color w:val="212121"/>
          <w:sz w:val="22"/>
          <w:szCs w:val="22"/>
        </w:rPr>
        <w:t xml:space="preserve">Lancet </w:t>
      </w:r>
      <w:proofErr w:type="spellStart"/>
      <w:r w:rsidRPr="00E875F5">
        <w:rPr>
          <w:rStyle w:val="normaltextrun"/>
          <w:i/>
          <w:iCs/>
          <w:color w:val="212121"/>
          <w:sz w:val="22"/>
          <w:szCs w:val="22"/>
        </w:rPr>
        <w:t>Haematol</w:t>
      </w:r>
      <w:proofErr w:type="spellEnd"/>
      <w:r w:rsidRPr="00E875F5">
        <w:rPr>
          <w:rStyle w:val="normaltextrun"/>
          <w:color w:val="212121"/>
          <w:sz w:val="22"/>
          <w:szCs w:val="22"/>
        </w:rPr>
        <w:t>. 2016 Mar;3(3</w:t>
      </w:r>
      <w:proofErr w:type="gramStart"/>
      <w:r w:rsidRPr="00E875F5">
        <w:rPr>
          <w:rStyle w:val="normaltextrun"/>
          <w:color w:val="212121"/>
          <w:sz w:val="22"/>
          <w:szCs w:val="22"/>
        </w:rPr>
        <w:t>):e</w:t>
      </w:r>
      <w:proofErr w:type="gramEnd"/>
      <w:r w:rsidRPr="00E875F5">
        <w:rPr>
          <w:rStyle w:val="normaltextrun"/>
          <w:color w:val="212121"/>
          <w:sz w:val="22"/>
          <w:szCs w:val="22"/>
        </w:rPr>
        <w:t>119-27. </w:t>
      </w:r>
      <w:r w:rsidRPr="00E875F5">
        <w:rPr>
          <w:rStyle w:val="normaltextrun"/>
          <w:sz w:val="22"/>
          <w:szCs w:val="22"/>
        </w:rPr>
        <w:t> </w:t>
      </w:r>
      <w:r w:rsidRPr="00E875F5">
        <w:rPr>
          <w:rStyle w:val="eop"/>
          <w:sz w:val="22"/>
          <w:szCs w:val="22"/>
        </w:rPr>
        <w:t> </w:t>
      </w:r>
    </w:p>
    <w:p w14:paraId="3DDADF6C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E875F5">
        <w:rPr>
          <w:rStyle w:val="normaltextrun"/>
          <w:color w:val="212121"/>
          <w:sz w:val="22"/>
          <w:szCs w:val="22"/>
        </w:rPr>
        <w:t>Chemaly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RF, Chou S,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Einsele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H, Griffiths P, Avery R,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Razonable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RR, Mullane KM,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Kotton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C, Lundgren J, Komatsu TE,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Lischka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P, Josephson F, Douglas CM,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Umeh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O, Miller V,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Ljungman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P; Resistant Definitions Working Group of the Cytomegalovirus Drug Development Forum. Definitions of Resistant and Refractory Cytomegalovirus Infection and Disease in Transplant Recipients for Use in Clinical Trials. </w:t>
      </w:r>
      <w:r w:rsidRPr="00E875F5">
        <w:rPr>
          <w:rStyle w:val="normaltextrun"/>
          <w:i/>
          <w:iCs/>
          <w:color w:val="212121"/>
          <w:sz w:val="22"/>
          <w:szCs w:val="22"/>
        </w:rPr>
        <w:t>Clin Infect Dis</w:t>
      </w:r>
      <w:r w:rsidRPr="00E875F5">
        <w:rPr>
          <w:rStyle w:val="normaltextrun"/>
          <w:color w:val="212121"/>
          <w:sz w:val="22"/>
          <w:szCs w:val="22"/>
        </w:rPr>
        <w:t>. 2019 Apr 8;68(8):1420-1426. </w:t>
      </w:r>
      <w:r w:rsidRPr="00E875F5">
        <w:rPr>
          <w:rStyle w:val="normaltextrun"/>
          <w:sz w:val="22"/>
          <w:szCs w:val="22"/>
        </w:rPr>
        <w:t> </w:t>
      </w:r>
      <w:r w:rsidRPr="00E875F5">
        <w:rPr>
          <w:rStyle w:val="eop"/>
          <w:sz w:val="22"/>
          <w:szCs w:val="22"/>
        </w:rPr>
        <w:t> </w:t>
      </w:r>
    </w:p>
    <w:p w14:paraId="10B9F66C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E875F5">
        <w:rPr>
          <w:rStyle w:val="normaltextrun"/>
          <w:color w:val="212121"/>
          <w:sz w:val="22"/>
          <w:szCs w:val="22"/>
        </w:rPr>
        <w:t>Razonable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RR, Inoue N,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Pinninti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SG,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Boppana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SB,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Lazzarotto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T,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Gabrielli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L,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Simonazzi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G,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Pellett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PE, Schmid DS. Clinical Diagnostic Testing for Human Cytomegalovirus Infections. </w:t>
      </w:r>
      <w:r w:rsidRPr="00E875F5">
        <w:rPr>
          <w:rStyle w:val="normaltextrun"/>
          <w:i/>
          <w:iCs/>
          <w:color w:val="212121"/>
          <w:sz w:val="22"/>
          <w:szCs w:val="22"/>
        </w:rPr>
        <w:t>J Infect Dis</w:t>
      </w:r>
      <w:r w:rsidRPr="00E875F5">
        <w:rPr>
          <w:rStyle w:val="normaltextrun"/>
          <w:color w:val="212121"/>
          <w:sz w:val="22"/>
          <w:szCs w:val="22"/>
        </w:rPr>
        <w:t>. 2020 Mar 5;221(Suppl 1</w:t>
      </w:r>
      <w:proofErr w:type="gramStart"/>
      <w:r w:rsidRPr="00E875F5">
        <w:rPr>
          <w:rStyle w:val="normaltextrun"/>
          <w:color w:val="212121"/>
          <w:sz w:val="22"/>
          <w:szCs w:val="22"/>
        </w:rPr>
        <w:t>):S</w:t>
      </w:r>
      <w:proofErr w:type="gramEnd"/>
      <w:r w:rsidRPr="00E875F5">
        <w:rPr>
          <w:rStyle w:val="normaltextrun"/>
          <w:color w:val="212121"/>
          <w:sz w:val="22"/>
          <w:szCs w:val="22"/>
        </w:rPr>
        <w:t>74-S85.</w:t>
      </w:r>
      <w:r w:rsidRPr="00E875F5">
        <w:rPr>
          <w:rStyle w:val="eop"/>
          <w:color w:val="212121"/>
          <w:sz w:val="22"/>
          <w:szCs w:val="22"/>
        </w:rPr>
        <w:t> </w:t>
      </w:r>
    </w:p>
    <w:p w14:paraId="492F4BF3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E875F5">
        <w:rPr>
          <w:rStyle w:val="normaltextrun"/>
          <w:color w:val="212121"/>
          <w:sz w:val="22"/>
          <w:szCs w:val="22"/>
        </w:rPr>
        <w:t>Tomblyn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M, Chiller T,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Einsele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H,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Gress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Sepkowitz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K,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Storek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J, Wingard JR, Young JA,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Boeckh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MJ; Center for International Blood and Marrow Research; National Marrow Donor program; European Blood and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MarrowTransplant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Group; American Society of Blood and Marrow Transplantation; Canadian Blood and Marrow Transplant Group; Infectious Diseases Society of America; Society for Healthcare Epidemiology of America; Association of Medical Microbiology and Infectious Disease Canada; Centers for Disease Control and Prevention. Guidelines for preventing infectious complications among hematopoietic cell transplantation recipients: a global perspective. </w:t>
      </w:r>
      <w:r w:rsidRPr="00E875F5">
        <w:rPr>
          <w:rStyle w:val="normaltextrun"/>
          <w:i/>
          <w:iCs/>
          <w:color w:val="212121"/>
          <w:sz w:val="22"/>
          <w:szCs w:val="22"/>
        </w:rPr>
        <w:t>Biol Blood Marrow Transplant</w:t>
      </w:r>
      <w:r w:rsidRPr="00E875F5">
        <w:rPr>
          <w:rStyle w:val="normaltextrun"/>
          <w:color w:val="212121"/>
          <w:sz w:val="22"/>
          <w:szCs w:val="22"/>
        </w:rPr>
        <w:t>. 2009 Oct;15(10):1143-238.</w:t>
      </w:r>
      <w:r w:rsidRPr="00E875F5">
        <w:rPr>
          <w:rStyle w:val="eop"/>
          <w:color w:val="212121"/>
          <w:sz w:val="22"/>
          <w:szCs w:val="22"/>
        </w:rPr>
        <w:t> </w:t>
      </w:r>
    </w:p>
    <w:p w14:paraId="36818464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E875F5">
        <w:rPr>
          <w:rStyle w:val="normaltextrun"/>
          <w:color w:val="212121"/>
          <w:sz w:val="22"/>
          <w:szCs w:val="22"/>
        </w:rPr>
        <w:t>Ljungman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P, de la Camara R, Robin C,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Crocchiolo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Einsele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H, Hill JA,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Hubacek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P, Navarro D,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Cordonnier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C, Ward KN; 2017 European Conference on Infections in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Leukaemia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group. Guidelines for the management of cytomegalovirus infection in patients with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haematological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malignancies and after stem cell transplantation from the 2017 European Conference on Infections in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Leukaemia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(ECIL 7). </w:t>
      </w:r>
      <w:r w:rsidRPr="00E875F5">
        <w:rPr>
          <w:rStyle w:val="normaltextrun"/>
          <w:i/>
          <w:iCs/>
          <w:color w:val="212121"/>
          <w:sz w:val="22"/>
          <w:szCs w:val="22"/>
        </w:rPr>
        <w:t>Lancet Infect Dis.</w:t>
      </w:r>
      <w:r w:rsidRPr="00E875F5">
        <w:rPr>
          <w:rStyle w:val="normaltextrun"/>
          <w:color w:val="212121"/>
          <w:sz w:val="22"/>
          <w:szCs w:val="22"/>
        </w:rPr>
        <w:t xml:space="preserve"> 2019 Aug;19(8</w:t>
      </w:r>
      <w:proofErr w:type="gramStart"/>
      <w:r w:rsidRPr="00E875F5">
        <w:rPr>
          <w:rStyle w:val="normaltextrun"/>
          <w:color w:val="212121"/>
          <w:sz w:val="22"/>
          <w:szCs w:val="22"/>
        </w:rPr>
        <w:t>):e</w:t>
      </w:r>
      <w:proofErr w:type="gramEnd"/>
      <w:r w:rsidRPr="00E875F5">
        <w:rPr>
          <w:rStyle w:val="normaltextrun"/>
          <w:color w:val="212121"/>
          <w:sz w:val="22"/>
          <w:szCs w:val="22"/>
        </w:rPr>
        <w:t>260-e272.</w:t>
      </w:r>
      <w:r w:rsidRPr="00E875F5">
        <w:rPr>
          <w:rStyle w:val="eop"/>
          <w:color w:val="212121"/>
          <w:sz w:val="22"/>
          <w:szCs w:val="22"/>
        </w:rPr>
        <w:t> </w:t>
      </w:r>
    </w:p>
    <w:p w14:paraId="21C0C560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212121"/>
          <w:sz w:val="22"/>
          <w:szCs w:val="22"/>
        </w:rPr>
        <w:t xml:space="preserve">Marty FM,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Ljungman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P,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Chemaly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RF,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Maertens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J,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Dadwal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SS, Duarte RF, Haider S, Ullmann AJ, Katayama Y, Brown J, Mullane KM,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Boeckh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M, Blumberg EA,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Einsele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H,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Snydman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DR, Kanda Y,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DiNubile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MJ, Teal VL, Wan H, Murata Y,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Kartsonis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NA, Leavitt RY, Badshah C.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Letermovir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Prophylaxis for Cytomegalovirus in Hematopoietic-Cell Transplantation. </w:t>
      </w:r>
      <w:r w:rsidRPr="00E875F5">
        <w:rPr>
          <w:rStyle w:val="normaltextrun"/>
          <w:i/>
          <w:iCs/>
          <w:color w:val="212121"/>
          <w:sz w:val="22"/>
          <w:szCs w:val="22"/>
        </w:rPr>
        <w:t xml:space="preserve">N </w:t>
      </w:r>
      <w:proofErr w:type="spellStart"/>
      <w:r w:rsidRPr="00E875F5">
        <w:rPr>
          <w:rStyle w:val="normaltextrun"/>
          <w:i/>
          <w:iCs/>
          <w:color w:val="212121"/>
          <w:sz w:val="22"/>
          <w:szCs w:val="22"/>
        </w:rPr>
        <w:t>Engl</w:t>
      </w:r>
      <w:proofErr w:type="spellEnd"/>
      <w:r w:rsidRPr="00E875F5">
        <w:rPr>
          <w:rStyle w:val="normaltextrun"/>
          <w:i/>
          <w:iCs/>
          <w:color w:val="212121"/>
          <w:sz w:val="22"/>
          <w:szCs w:val="22"/>
        </w:rPr>
        <w:t xml:space="preserve"> J Med.</w:t>
      </w:r>
      <w:r w:rsidRPr="00E875F5">
        <w:rPr>
          <w:rStyle w:val="normaltextrun"/>
          <w:color w:val="212121"/>
          <w:sz w:val="22"/>
          <w:szCs w:val="22"/>
        </w:rPr>
        <w:t xml:space="preserve"> 2017 Dec 21;377(25):2433-2444.</w:t>
      </w:r>
      <w:r w:rsidRPr="00E875F5">
        <w:rPr>
          <w:rStyle w:val="eop"/>
          <w:color w:val="212121"/>
          <w:sz w:val="22"/>
          <w:szCs w:val="22"/>
        </w:rPr>
        <w:t> </w:t>
      </w:r>
    </w:p>
    <w:p w14:paraId="7B60AD91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212121"/>
          <w:sz w:val="22"/>
          <w:szCs w:val="22"/>
        </w:rPr>
        <w:t xml:space="preserve">Marty FM,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Ljungman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PT,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Chemaly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RF, Wan H, Teal VL,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Butterton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JR, Yeh WW, Leavitt RY, Badshah CS. Outcomes of patients with detectable CMV DNA at randomization in the phase III trial of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letermovir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for the prevention of CMV infection in allogeneic hematopoietic cell transplantation. </w:t>
      </w:r>
      <w:r w:rsidRPr="00E875F5">
        <w:rPr>
          <w:rStyle w:val="normaltextrun"/>
          <w:i/>
          <w:iCs/>
          <w:color w:val="212121"/>
          <w:sz w:val="22"/>
          <w:szCs w:val="22"/>
        </w:rPr>
        <w:t>Am J Transplant</w:t>
      </w:r>
      <w:r w:rsidRPr="00E875F5">
        <w:rPr>
          <w:rStyle w:val="normaltextrun"/>
          <w:color w:val="212121"/>
          <w:sz w:val="22"/>
          <w:szCs w:val="22"/>
        </w:rPr>
        <w:t>. 2020 Jun;20(6):1703-1711. </w:t>
      </w:r>
      <w:r w:rsidRPr="00E875F5">
        <w:rPr>
          <w:rStyle w:val="normaltextrun"/>
          <w:sz w:val="22"/>
          <w:szCs w:val="22"/>
        </w:rPr>
        <w:t> </w:t>
      </w:r>
      <w:r w:rsidRPr="00E875F5">
        <w:rPr>
          <w:rStyle w:val="eop"/>
          <w:sz w:val="22"/>
          <w:szCs w:val="22"/>
        </w:rPr>
        <w:t> </w:t>
      </w:r>
    </w:p>
    <w:p w14:paraId="46EF8EA2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212121"/>
          <w:sz w:val="22"/>
          <w:szCs w:val="22"/>
        </w:rPr>
        <w:t xml:space="preserve">El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Chaer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F, Shah DP,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Chemaly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RF. How I treat resistant cytomegalovirus infection in hematopoietic cell transplantation recipients. </w:t>
      </w:r>
      <w:r w:rsidRPr="00E875F5">
        <w:rPr>
          <w:rStyle w:val="normaltextrun"/>
          <w:i/>
          <w:iCs/>
          <w:color w:val="212121"/>
          <w:sz w:val="22"/>
          <w:szCs w:val="22"/>
        </w:rPr>
        <w:t>Blood.</w:t>
      </w:r>
      <w:r w:rsidRPr="00E875F5">
        <w:rPr>
          <w:rStyle w:val="normaltextrun"/>
          <w:color w:val="212121"/>
          <w:sz w:val="22"/>
          <w:szCs w:val="22"/>
        </w:rPr>
        <w:t xml:space="preserve"> 2016 Dec 8;128(23):2624-2636.</w:t>
      </w:r>
      <w:r w:rsidRPr="00E875F5">
        <w:rPr>
          <w:rStyle w:val="eop"/>
          <w:color w:val="212121"/>
          <w:sz w:val="22"/>
          <w:szCs w:val="22"/>
        </w:rPr>
        <w:t> </w:t>
      </w:r>
    </w:p>
    <w:p w14:paraId="6F3FB989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212121"/>
          <w:sz w:val="22"/>
          <w:szCs w:val="22"/>
        </w:rPr>
        <w:t xml:space="preserve">Shaikh S,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Jasiak-Panek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N, Park JM. A national survey of valganciclovir dosing strategies in pediatric organ transplant recipients. </w:t>
      </w:r>
      <w:r w:rsidRPr="00E875F5">
        <w:rPr>
          <w:rStyle w:val="normaltextrun"/>
          <w:i/>
          <w:iCs/>
          <w:color w:val="212121"/>
          <w:sz w:val="22"/>
          <w:szCs w:val="22"/>
        </w:rPr>
        <w:t>Clin Transplant</w:t>
      </w:r>
      <w:r w:rsidRPr="00E875F5">
        <w:rPr>
          <w:rStyle w:val="normaltextrun"/>
          <w:color w:val="212121"/>
          <w:sz w:val="22"/>
          <w:szCs w:val="22"/>
        </w:rPr>
        <w:t>. 2018 Sep;32(9</w:t>
      </w:r>
      <w:proofErr w:type="gramStart"/>
      <w:r w:rsidRPr="00E875F5">
        <w:rPr>
          <w:rStyle w:val="normaltextrun"/>
          <w:color w:val="212121"/>
          <w:sz w:val="22"/>
          <w:szCs w:val="22"/>
        </w:rPr>
        <w:t>):e</w:t>
      </w:r>
      <w:proofErr w:type="gramEnd"/>
      <w:r w:rsidRPr="00E875F5">
        <w:rPr>
          <w:rStyle w:val="normaltextrun"/>
          <w:color w:val="212121"/>
          <w:sz w:val="22"/>
          <w:szCs w:val="22"/>
        </w:rPr>
        <w:t>13369. </w:t>
      </w:r>
      <w:r w:rsidRPr="00E875F5">
        <w:rPr>
          <w:rStyle w:val="normaltextrun"/>
          <w:sz w:val="22"/>
          <w:szCs w:val="22"/>
        </w:rPr>
        <w:t> </w:t>
      </w:r>
      <w:r w:rsidRPr="00E875F5">
        <w:rPr>
          <w:rStyle w:val="eop"/>
          <w:sz w:val="22"/>
          <w:szCs w:val="22"/>
        </w:rPr>
        <w:t> </w:t>
      </w:r>
    </w:p>
    <w:p w14:paraId="7ABDB10E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E875F5">
        <w:rPr>
          <w:rStyle w:val="normaltextrun"/>
          <w:color w:val="212121"/>
          <w:sz w:val="22"/>
          <w:szCs w:val="22"/>
        </w:rPr>
        <w:t>Pappo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A,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Peled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O,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Berkovitch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M,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Bilavsky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E, Rom E, Amir J, Krause I,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Yarden-Bilavsky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H,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Scheuerman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O, Ashkenazi-</w:t>
      </w:r>
      <w:proofErr w:type="spellStart"/>
      <w:r w:rsidRPr="00E875F5">
        <w:rPr>
          <w:rStyle w:val="normaltextrun"/>
          <w:color w:val="212121"/>
          <w:sz w:val="22"/>
          <w:szCs w:val="22"/>
        </w:rPr>
        <w:t>Hoffnung</w:t>
      </w:r>
      <w:proofErr w:type="spellEnd"/>
      <w:r w:rsidRPr="00E875F5">
        <w:rPr>
          <w:rStyle w:val="normaltextrun"/>
          <w:color w:val="212121"/>
          <w:sz w:val="22"/>
          <w:szCs w:val="22"/>
        </w:rPr>
        <w:t xml:space="preserve"> L. Efficacy and Safety of a Weight-based Dosing Regimen of Valganciclovir for Cytomegalovirus Prophylaxis in Pediatric Solid-organ Transplant Recipients. </w:t>
      </w:r>
      <w:r w:rsidRPr="00E875F5">
        <w:rPr>
          <w:rStyle w:val="normaltextrun"/>
          <w:i/>
          <w:iCs/>
          <w:color w:val="212121"/>
          <w:sz w:val="22"/>
          <w:szCs w:val="22"/>
        </w:rPr>
        <w:t>Transplantation.</w:t>
      </w:r>
      <w:r w:rsidRPr="00E875F5">
        <w:rPr>
          <w:rStyle w:val="normaltextrun"/>
          <w:color w:val="212121"/>
          <w:sz w:val="22"/>
          <w:szCs w:val="22"/>
        </w:rPr>
        <w:t xml:space="preserve"> 2019 Aug;103(8):1730-1735.</w:t>
      </w:r>
      <w:r w:rsidRPr="00E875F5">
        <w:rPr>
          <w:rStyle w:val="eop"/>
          <w:color w:val="212121"/>
          <w:sz w:val="22"/>
          <w:szCs w:val="22"/>
        </w:rPr>
        <w:t> </w:t>
      </w:r>
    </w:p>
    <w:p w14:paraId="5A3E62B1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000000"/>
          <w:sz w:val="22"/>
          <w:szCs w:val="22"/>
          <w:lang w:val="da-DK"/>
        </w:rPr>
        <w:t xml:space="preserve">Styczynski J, Tridello G, Xhaard A, et al. </w:t>
      </w:r>
      <w:r w:rsidRPr="00E875F5">
        <w:rPr>
          <w:rStyle w:val="normaltextrun"/>
          <w:color w:val="000000"/>
          <w:sz w:val="22"/>
          <w:szCs w:val="22"/>
        </w:rPr>
        <w:t xml:space="preserve">Use of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letermovir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in off-label indications: Infectious Diseases Working Party of European Society of Blood and Marrow Transplantation retrospective study</w:t>
      </w:r>
      <w:r w:rsidRPr="00E875F5">
        <w:rPr>
          <w:rStyle w:val="normaltextrun"/>
          <w:i/>
          <w:iCs/>
          <w:color w:val="000000"/>
          <w:sz w:val="22"/>
          <w:szCs w:val="22"/>
        </w:rPr>
        <w:t>. Bone Marrow Transplant</w:t>
      </w:r>
      <w:r w:rsidRPr="00E875F5">
        <w:rPr>
          <w:rStyle w:val="normaltextrun"/>
          <w:color w:val="000000"/>
          <w:sz w:val="22"/>
          <w:szCs w:val="22"/>
        </w:rPr>
        <w:t xml:space="preserve">. </w:t>
      </w:r>
      <w:proofErr w:type="gramStart"/>
      <w:r w:rsidRPr="00E875F5">
        <w:rPr>
          <w:rStyle w:val="normaltextrun"/>
          <w:color w:val="000000"/>
          <w:sz w:val="22"/>
          <w:szCs w:val="22"/>
        </w:rPr>
        <w:t>2021;56:1171</w:t>
      </w:r>
      <w:proofErr w:type="gramEnd"/>
      <w:r w:rsidRPr="00E875F5">
        <w:rPr>
          <w:rStyle w:val="normaltextrun"/>
          <w:color w:val="000000"/>
          <w:sz w:val="22"/>
          <w:szCs w:val="22"/>
        </w:rPr>
        <w:t>–1179. </w:t>
      </w:r>
      <w:r w:rsidRPr="00E875F5">
        <w:rPr>
          <w:rStyle w:val="eop"/>
          <w:color w:val="000000"/>
          <w:sz w:val="22"/>
          <w:szCs w:val="22"/>
        </w:rPr>
        <w:t> </w:t>
      </w:r>
    </w:p>
    <w:p w14:paraId="265CFCD7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000000"/>
          <w:sz w:val="22"/>
          <w:szCs w:val="22"/>
          <w:lang w:val="it-IT"/>
        </w:rPr>
        <w:t xml:space="preserve">Chiereghin A, Belotti T, Borgatti EC, et al. </w:t>
      </w:r>
      <w:r w:rsidRPr="00E875F5">
        <w:rPr>
          <w:rStyle w:val="normaltextrun"/>
          <w:color w:val="000000"/>
          <w:sz w:val="22"/>
          <w:szCs w:val="22"/>
        </w:rPr>
        <w:t xml:space="preserve">Off-label use of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letermovir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as preemptive anti-cytomegalovirus therapy in a pediatric allogeneic peripheral blood stem cell transplant. </w:t>
      </w:r>
      <w:r w:rsidRPr="00E875F5">
        <w:rPr>
          <w:rStyle w:val="normaltextrun"/>
          <w:i/>
          <w:iCs/>
          <w:color w:val="000000"/>
          <w:sz w:val="22"/>
          <w:szCs w:val="22"/>
        </w:rPr>
        <w:t>Infect Drug Resist.</w:t>
      </w:r>
      <w:r w:rsidRPr="00E875F5">
        <w:rPr>
          <w:rStyle w:val="normaltextrun"/>
          <w:color w:val="000000"/>
          <w:sz w:val="22"/>
          <w:szCs w:val="22"/>
        </w:rPr>
        <w:t xml:space="preserve"> </w:t>
      </w:r>
      <w:proofErr w:type="gramStart"/>
      <w:r w:rsidRPr="00E875F5">
        <w:rPr>
          <w:rStyle w:val="normaltextrun"/>
          <w:color w:val="000000"/>
          <w:sz w:val="22"/>
          <w:szCs w:val="22"/>
        </w:rPr>
        <w:t>2021;14:1185</w:t>
      </w:r>
      <w:proofErr w:type="gramEnd"/>
      <w:r w:rsidRPr="00E875F5">
        <w:rPr>
          <w:rStyle w:val="normaltextrun"/>
          <w:color w:val="000000"/>
          <w:sz w:val="22"/>
          <w:szCs w:val="22"/>
        </w:rPr>
        <w:t>–1190. </w:t>
      </w:r>
      <w:r w:rsidRPr="00E875F5">
        <w:rPr>
          <w:rStyle w:val="eop"/>
          <w:color w:val="000000"/>
          <w:sz w:val="22"/>
          <w:szCs w:val="22"/>
        </w:rPr>
        <w:t> </w:t>
      </w:r>
    </w:p>
    <w:p w14:paraId="585C8418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000000"/>
          <w:sz w:val="22"/>
          <w:szCs w:val="22"/>
        </w:rPr>
        <w:lastRenderedPageBreak/>
        <w:t xml:space="preserve">Kilgore JT,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Becken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B,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Varga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MG, et al. Use of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letermovir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for salvage therapy for resistant cytomegalovirus in a pediatric hematopoietic stem cell transplant recipient. </w:t>
      </w:r>
      <w:r w:rsidRPr="00E875F5">
        <w:rPr>
          <w:rStyle w:val="normaltextrun"/>
          <w:i/>
          <w:iCs/>
          <w:color w:val="000000"/>
          <w:sz w:val="22"/>
          <w:szCs w:val="22"/>
        </w:rPr>
        <w:t>J Pediatric Infect Dis Soc</w:t>
      </w:r>
      <w:r w:rsidRPr="00E875F5">
        <w:rPr>
          <w:rStyle w:val="normaltextrun"/>
          <w:color w:val="000000"/>
          <w:sz w:val="22"/>
          <w:szCs w:val="22"/>
        </w:rPr>
        <w:t xml:space="preserve">. </w:t>
      </w:r>
      <w:proofErr w:type="gramStart"/>
      <w:r w:rsidRPr="00E875F5">
        <w:rPr>
          <w:rStyle w:val="normaltextrun"/>
          <w:color w:val="000000"/>
          <w:sz w:val="22"/>
          <w:szCs w:val="22"/>
        </w:rPr>
        <w:t>2020;9:486</w:t>
      </w:r>
      <w:proofErr w:type="gramEnd"/>
      <w:r w:rsidRPr="00E875F5">
        <w:rPr>
          <w:rStyle w:val="normaltextrun"/>
          <w:color w:val="000000"/>
          <w:sz w:val="22"/>
          <w:szCs w:val="22"/>
        </w:rPr>
        <w:t>–489</w:t>
      </w:r>
      <w:r w:rsidRPr="00E875F5">
        <w:rPr>
          <w:rStyle w:val="normaltextrun"/>
          <w:strike/>
          <w:color w:val="0078D4"/>
          <w:sz w:val="22"/>
          <w:szCs w:val="22"/>
        </w:rPr>
        <w:t>.</w:t>
      </w:r>
      <w:r w:rsidRPr="00E875F5">
        <w:rPr>
          <w:rStyle w:val="eop"/>
          <w:color w:val="0078D4"/>
          <w:sz w:val="22"/>
          <w:szCs w:val="22"/>
        </w:rPr>
        <w:t> </w:t>
      </w:r>
    </w:p>
    <w:p w14:paraId="70446B33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E875F5">
        <w:rPr>
          <w:rStyle w:val="normaltextrun"/>
          <w:color w:val="000000"/>
          <w:sz w:val="22"/>
          <w:szCs w:val="22"/>
        </w:rPr>
        <w:t>Strenger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V,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Sperl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D,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Kubesch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K, et al.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Letermovir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in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paediatric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HSCT recipients</w:t>
      </w:r>
      <w:r w:rsidRPr="00E875F5">
        <w:rPr>
          <w:rStyle w:val="normaltextrun"/>
          <w:i/>
          <w:iCs/>
          <w:color w:val="000000"/>
          <w:sz w:val="22"/>
          <w:szCs w:val="22"/>
        </w:rPr>
        <w:t xml:space="preserve">. J </w:t>
      </w:r>
      <w:proofErr w:type="spellStart"/>
      <w:r w:rsidRPr="00E875F5">
        <w:rPr>
          <w:rStyle w:val="normaltextrun"/>
          <w:i/>
          <w:iCs/>
          <w:color w:val="000000"/>
          <w:sz w:val="22"/>
          <w:szCs w:val="22"/>
        </w:rPr>
        <w:t>Antimicrob</w:t>
      </w:r>
      <w:proofErr w:type="spellEnd"/>
      <w:r w:rsidRPr="00E875F5">
        <w:rPr>
          <w:rStyle w:val="normaltextrun"/>
          <w:i/>
          <w:iCs/>
          <w:color w:val="000000"/>
          <w:sz w:val="22"/>
          <w:szCs w:val="22"/>
        </w:rPr>
        <w:t xml:space="preserve"> Chemother. </w:t>
      </w:r>
      <w:proofErr w:type="gramStart"/>
      <w:r w:rsidRPr="00E875F5">
        <w:rPr>
          <w:rStyle w:val="normaltextrun"/>
          <w:color w:val="000000"/>
          <w:sz w:val="22"/>
          <w:szCs w:val="22"/>
        </w:rPr>
        <w:t>2019;74:2820</w:t>
      </w:r>
      <w:proofErr w:type="gramEnd"/>
      <w:r w:rsidRPr="00E875F5">
        <w:rPr>
          <w:rStyle w:val="normaltextrun"/>
          <w:color w:val="000000"/>
          <w:sz w:val="22"/>
          <w:szCs w:val="22"/>
        </w:rPr>
        <w:t>–2821.</w:t>
      </w:r>
      <w:r w:rsidRPr="00E875F5">
        <w:rPr>
          <w:rStyle w:val="eop"/>
          <w:color w:val="000000"/>
          <w:sz w:val="22"/>
          <w:szCs w:val="22"/>
        </w:rPr>
        <w:t> </w:t>
      </w:r>
    </w:p>
    <w:p w14:paraId="0BD1859B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000000"/>
          <w:sz w:val="22"/>
          <w:szCs w:val="22"/>
        </w:rPr>
        <w:t xml:space="preserve">Kuhn A,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Puttkammer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J, Madigan T,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Dinnes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L, Khan S,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Ferdjallah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A,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Kohorst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M. </w:t>
      </w:r>
      <w:proofErr w:type="spellStart"/>
      <w:r w:rsidRPr="00E875F5">
        <w:rPr>
          <w:rStyle w:val="normaltextrun"/>
          <w:color w:val="000000"/>
          <w:sz w:val="22"/>
          <w:szCs w:val="22"/>
        </w:rPr>
        <w:t>Letermovir</w:t>
      </w:r>
      <w:proofErr w:type="spellEnd"/>
      <w:r w:rsidRPr="00E875F5">
        <w:rPr>
          <w:rStyle w:val="normaltextrun"/>
          <w:color w:val="000000"/>
          <w:sz w:val="22"/>
          <w:szCs w:val="22"/>
        </w:rPr>
        <w:t xml:space="preserve"> as CMV Prophylaxis in a Pediatric Cohort: A Retrospective Analysis, Transplantation and Cellular Therapy (2022).</w:t>
      </w:r>
      <w:r w:rsidRPr="00E875F5">
        <w:rPr>
          <w:rStyle w:val="eop"/>
          <w:color w:val="000000"/>
          <w:sz w:val="22"/>
          <w:szCs w:val="22"/>
        </w:rPr>
        <w:t> </w:t>
      </w:r>
    </w:p>
    <w:p w14:paraId="7FFF4B5E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474747"/>
          <w:sz w:val="22"/>
          <w:szCs w:val="22"/>
        </w:rPr>
        <w:t xml:space="preserve">Avery RK, Alain S, Alexander BD, et al; SOLSTICE Trial Investigators. </w:t>
      </w:r>
      <w:proofErr w:type="spellStart"/>
      <w:r w:rsidRPr="00E875F5">
        <w:rPr>
          <w:rStyle w:val="normaltextrun"/>
          <w:color w:val="474747"/>
          <w:sz w:val="22"/>
          <w:szCs w:val="22"/>
        </w:rPr>
        <w:t>Maribavir</w:t>
      </w:r>
      <w:proofErr w:type="spellEnd"/>
      <w:r w:rsidRPr="00E875F5">
        <w:rPr>
          <w:rStyle w:val="normaltextrun"/>
          <w:color w:val="474747"/>
          <w:sz w:val="22"/>
          <w:szCs w:val="22"/>
        </w:rPr>
        <w:t xml:space="preserve"> for refractory cytomegalovirus infections with or without resistance post-transplant: results from a phase 3 randomized clinical trial. </w:t>
      </w:r>
      <w:r w:rsidRPr="00E875F5">
        <w:rPr>
          <w:rStyle w:val="normaltextrun"/>
          <w:i/>
          <w:iCs/>
          <w:color w:val="474747"/>
          <w:sz w:val="22"/>
          <w:szCs w:val="22"/>
        </w:rPr>
        <w:t>Clin Infect Dis</w:t>
      </w:r>
      <w:r w:rsidRPr="00E875F5">
        <w:rPr>
          <w:rStyle w:val="normaltextrun"/>
          <w:color w:val="474747"/>
          <w:sz w:val="22"/>
          <w:szCs w:val="22"/>
        </w:rPr>
        <w:t>. 2022;75(4):690-701. </w:t>
      </w:r>
      <w:r w:rsidRPr="00E875F5">
        <w:rPr>
          <w:rStyle w:val="eop"/>
          <w:color w:val="474747"/>
          <w:sz w:val="22"/>
          <w:szCs w:val="22"/>
        </w:rPr>
        <w:t> </w:t>
      </w:r>
    </w:p>
    <w:p w14:paraId="7FFB60F6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E875F5">
        <w:rPr>
          <w:rStyle w:val="normaltextrun"/>
          <w:color w:val="474747"/>
          <w:sz w:val="22"/>
          <w:szCs w:val="22"/>
          <w:lang w:val="fr-FR"/>
        </w:rPr>
        <w:t>Maertens</w:t>
      </w:r>
      <w:proofErr w:type="spellEnd"/>
      <w:r w:rsidRPr="00E875F5">
        <w:rPr>
          <w:rStyle w:val="normaltextrun"/>
          <w:color w:val="474747"/>
          <w:sz w:val="22"/>
          <w:szCs w:val="22"/>
          <w:lang w:val="fr-FR"/>
        </w:rPr>
        <w:t xml:space="preserve"> J, Cordonnier C, </w:t>
      </w:r>
      <w:proofErr w:type="spellStart"/>
      <w:r w:rsidRPr="00E875F5">
        <w:rPr>
          <w:rStyle w:val="normaltextrun"/>
          <w:color w:val="474747"/>
          <w:sz w:val="22"/>
          <w:szCs w:val="22"/>
          <w:lang w:val="fr-FR"/>
        </w:rPr>
        <w:t>Jaksch</w:t>
      </w:r>
      <w:proofErr w:type="spellEnd"/>
      <w:r w:rsidRPr="00E875F5">
        <w:rPr>
          <w:rStyle w:val="normaltextrun"/>
          <w:color w:val="474747"/>
          <w:sz w:val="22"/>
          <w:szCs w:val="22"/>
          <w:lang w:val="fr-FR"/>
        </w:rPr>
        <w:t xml:space="preserve"> P, et al. </w:t>
      </w:r>
      <w:proofErr w:type="spellStart"/>
      <w:r w:rsidRPr="00E875F5">
        <w:rPr>
          <w:rStyle w:val="normaltextrun"/>
          <w:color w:val="474747"/>
          <w:sz w:val="22"/>
          <w:szCs w:val="22"/>
        </w:rPr>
        <w:t>Maribavir</w:t>
      </w:r>
      <w:proofErr w:type="spellEnd"/>
      <w:r w:rsidRPr="00E875F5">
        <w:rPr>
          <w:rStyle w:val="normaltextrun"/>
          <w:color w:val="474747"/>
          <w:sz w:val="22"/>
          <w:szCs w:val="22"/>
        </w:rPr>
        <w:t xml:space="preserve"> for preemptive treatment of cytomegalovirus reactivation. </w:t>
      </w:r>
      <w:r w:rsidRPr="00E875F5">
        <w:rPr>
          <w:rStyle w:val="normaltextrun"/>
          <w:i/>
          <w:iCs/>
          <w:color w:val="474747"/>
          <w:sz w:val="22"/>
          <w:szCs w:val="22"/>
        </w:rPr>
        <w:t xml:space="preserve">N </w:t>
      </w:r>
      <w:proofErr w:type="spellStart"/>
      <w:r w:rsidRPr="00E875F5">
        <w:rPr>
          <w:rStyle w:val="normaltextrun"/>
          <w:i/>
          <w:iCs/>
          <w:color w:val="474747"/>
          <w:sz w:val="22"/>
          <w:szCs w:val="22"/>
        </w:rPr>
        <w:t>Engl</w:t>
      </w:r>
      <w:proofErr w:type="spellEnd"/>
      <w:r w:rsidRPr="00E875F5">
        <w:rPr>
          <w:rStyle w:val="normaltextrun"/>
          <w:i/>
          <w:iCs/>
          <w:color w:val="474747"/>
          <w:sz w:val="22"/>
          <w:szCs w:val="22"/>
        </w:rPr>
        <w:t xml:space="preserve"> J Med</w:t>
      </w:r>
      <w:r w:rsidRPr="00E875F5">
        <w:rPr>
          <w:rStyle w:val="normaltextrun"/>
          <w:color w:val="474747"/>
          <w:sz w:val="22"/>
          <w:szCs w:val="22"/>
        </w:rPr>
        <w:t>. 2019;381(12):1136-1147. </w:t>
      </w:r>
      <w:r w:rsidRPr="00E875F5">
        <w:rPr>
          <w:rStyle w:val="eop"/>
          <w:color w:val="474747"/>
          <w:sz w:val="22"/>
          <w:szCs w:val="22"/>
        </w:rPr>
        <w:t> </w:t>
      </w:r>
    </w:p>
    <w:p w14:paraId="69C3BB78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474747"/>
          <w:sz w:val="22"/>
          <w:szCs w:val="22"/>
        </w:rPr>
        <w:t xml:space="preserve">Papanicolaou GA, Silveira FP, Langston AA, et al. </w:t>
      </w:r>
      <w:proofErr w:type="spellStart"/>
      <w:r w:rsidRPr="00E875F5">
        <w:rPr>
          <w:rStyle w:val="normaltextrun"/>
          <w:color w:val="474747"/>
          <w:sz w:val="22"/>
          <w:szCs w:val="22"/>
        </w:rPr>
        <w:t>Maribavir</w:t>
      </w:r>
      <w:proofErr w:type="spellEnd"/>
      <w:r w:rsidRPr="00E875F5">
        <w:rPr>
          <w:rStyle w:val="normaltextrun"/>
          <w:color w:val="474747"/>
          <w:sz w:val="22"/>
          <w:szCs w:val="22"/>
        </w:rPr>
        <w:t xml:space="preserve"> for refractory or resistant cytomegalovirus infections in hematopoietic-cell or solid-organ transplant recipients: a randomized, dose-ranging, double-blind, phase 2 study. </w:t>
      </w:r>
      <w:r w:rsidRPr="00E875F5">
        <w:rPr>
          <w:rStyle w:val="normaltextrun"/>
          <w:i/>
          <w:iCs/>
          <w:color w:val="474747"/>
          <w:sz w:val="22"/>
          <w:szCs w:val="22"/>
        </w:rPr>
        <w:t>Clin Infect Dis</w:t>
      </w:r>
      <w:r w:rsidRPr="00E875F5">
        <w:rPr>
          <w:rStyle w:val="normaltextrun"/>
          <w:color w:val="474747"/>
          <w:sz w:val="22"/>
          <w:szCs w:val="22"/>
        </w:rPr>
        <w:t>. 2019;68(8):1255-1264.</w:t>
      </w:r>
      <w:r w:rsidRPr="00E875F5">
        <w:rPr>
          <w:rStyle w:val="eop"/>
          <w:color w:val="474747"/>
          <w:sz w:val="22"/>
          <w:szCs w:val="22"/>
        </w:rPr>
        <w:t> </w:t>
      </w:r>
    </w:p>
    <w:p w14:paraId="14FBDF69" w14:textId="77777777" w:rsidR="00E875F5" w:rsidRPr="00E875F5" w:rsidRDefault="00E875F5" w:rsidP="00E875F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75F5">
        <w:rPr>
          <w:rStyle w:val="normaltextrun"/>
          <w:color w:val="212121"/>
          <w:sz w:val="22"/>
          <w:szCs w:val="22"/>
        </w:rPr>
        <w:t xml:space="preserve">Halpern-Cohen V, Blumberg EA. New Perspectives on Antimicrobial Agents: </w:t>
      </w:r>
      <w:proofErr w:type="spellStart"/>
      <w:r w:rsidRPr="00E875F5">
        <w:rPr>
          <w:rStyle w:val="normaltextrun"/>
          <w:color w:val="212121"/>
          <w:sz w:val="22"/>
          <w:szCs w:val="22"/>
        </w:rPr>
        <w:t>Maribavir</w:t>
      </w:r>
      <w:proofErr w:type="spellEnd"/>
      <w:r w:rsidRPr="00E875F5">
        <w:rPr>
          <w:rStyle w:val="normaltextrun"/>
          <w:i/>
          <w:iCs/>
          <w:color w:val="212121"/>
          <w:sz w:val="22"/>
          <w:szCs w:val="22"/>
        </w:rPr>
        <w:t xml:space="preserve">. </w:t>
      </w:r>
      <w:proofErr w:type="spellStart"/>
      <w:r w:rsidRPr="00E875F5">
        <w:rPr>
          <w:rStyle w:val="normaltextrun"/>
          <w:i/>
          <w:iCs/>
          <w:color w:val="212121"/>
          <w:sz w:val="22"/>
          <w:szCs w:val="22"/>
        </w:rPr>
        <w:t>Antimicrob</w:t>
      </w:r>
      <w:proofErr w:type="spellEnd"/>
      <w:r w:rsidRPr="00E875F5">
        <w:rPr>
          <w:rStyle w:val="normaltextrun"/>
          <w:i/>
          <w:iCs/>
          <w:color w:val="212121"/>
          <w:sz w:val="22"/>
          <w:szCs w:val="22"/>
        </w:rPr>
        <w:t xml:space="preserve"> Agents Chemother.</w:t>
      </w:r>
      <w:r w:rsidRPr="00E875F5">
        <w:rPr>
          <w:rStyle w:val="normaltextrun"/>
          <w:color w:val="212121"/>
          <w:sz w:val="22"/>
          <w:szCs w:val="22"/>
        </w:rPr>
        <w:t xml:space="preserve"> 2022 Sep 20;66(9</w:t>
      </w:r>
      <w:proofErr w:type="gramStart"/>
      <w:r w:rsidRPr="00E875F5">
        <w:rPr>
          <w:rStyle w:val="normaltextrun"/>
          <w:color w:val="212121"/>
          <w:sz w:val="22"/>
          <w:szCs w:val="22"/>
        </w:rPr>
        <w:t>):e</w:t>
      </w:r>
      <w:proofErr w:type="gramEnd"/>
      <w:r w:rsidRPr="00E875F5">
        <w:rPr>
          <w:rStyle w:val="normaltextrun"/>
          <w:color w:val="212121"/>
          <w:sz w:val="22"/>
          <w:szCs w:val="22"/>
        </w:rPr>
        <w:t>0240521.</w:t>
      </w:r>
      <w:r w:rsidRPr="00E875F5">
        <w:rPr>
          <w:rStyle w:val="eop"/>
          <w:color w:val="212121"/>
          <w:sz w:val="22"/>
          <w:szCs w:val="22"/>
        </w:rPr>
        <w:t> </w:t>
      </w:r>
    </w:p>
    <w:p w14:paraId="59DD13A0" w14:textId="77777777" w:rsidR="00E875F5" w:rsidRDefault="00E875F5" w:rsidP="43A9114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Bidi"/>
          <w:sz w:val="22"/>
          <w:szCs w:val="22"/>
          <w:u w:val="single"/>
        </w:rPr>
      </w:pPr>
    </w:p>
    <w:p w14:paraId="5DCB3208" w14:textId="44AB68B2" w:rsidR="43A9114B" w:rsidRDefault="43A9114B" w:rsidP="43A9114B">
      <w:pPr>
        <w:spacing w:after="200" w:line="276" w:lineRule="auto"/>
        <w:rPr>
          <w:rFonts w:ascii="Arial" w:hAnsi="Arial" w:cs="Arial"/>
          <w:b/>
          <w:bCs/>
        </w:rPr>
      </w:pPr>
    </w:p>
    <w:sectPr w:rsidR="43A9114B" w:rsidSect="00B87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55FC" w14:textId="77777777" w:rsidR="00706094" w:rsidRDefault="00706094" w:rsidP="00642A47">
      <w:r>
        <w:separator/>
      </w:r>
    </w:p>
  </w:endnote>
  <w:endnote w:type="continuationSeparator" w:id="0">
    <w:p w14:paraId="63404337" w14:textId="77777777" w:rsidR="00706094" w:rsidRDefault="00706094" w:rsidP="0064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24D81" w14:textId="77777777" w:rsidR="00706094" w:rsidRDefault="00706094" w:rsidP="00642A47">
      <w:r>
        <w:separator/>
      </w:r>
    </w:p>
  </w:footnote>
  <w:footnote w:type="continuationSeparator" w:id="0">
    <w:p w14:paraId="2AEDA964" w14:textId="77777777" w:rsidR="00706094" w:rsidRDefault="00706094" w:rsidP="0064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C42"/>
    <w:multiLevelType w:val="multilevel"/>
    <w:tmpl w:val="95DA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40071"/>
    <w:multiLevelType w:val="multilevel"/>
    <w:tmpl w:val="779C255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F324AC2"/>
    <w:multiLevelType w:val="multilevel"/>
    <w:tmpl w:val="0CF8F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66971"/>
    <w:multiLevelType w:val="hybridMultilevel"/>
    <w:tmpl w:val="B3764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32378"/>
    <w:multiLevelType w:val="multilevel"/>
    <w:tmpl w:val="C7A47C8E"/>
    <w:styleLink w:val="Style2"/>
    <w:lvl w:ilvl="0">
      <w:start w:val="1"/>
      <w:numFmt w:val="upperLetter"/>
      <w:lvlText w:val="%1."/>
      <w:lvlJc w:val="left"/>
      <w:pPr>
        <w:ind w:left="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06" w:hanging="360"/>
      </w:pPr>
    </w:lvl>
    <w:lvl w:ilvl="2">
      <w:start w:val="1"/>
      <w:numFmt w:val="lowerRoman"/>
      <w:lvlText w:val="%3."/>
      <w:lvlJc w:val="right"/>
      <w:pPr>
        <w:ind w:left="1526" w:hanging="180"/>
      </w:pPr>
    </w:lvl>
    <w:lvl w:ilvl="3">
      <w:start w:val="1"/>
      <w:numFmt w:val="decimal"/>
      <w:lvlText w:val="%4."/>
      <w:lvlJc w:val="left"/>
      <w:pPr>
        <w:ind w:left="2246" w:hanging="360"/>
      </w:pPr>
    </w:lvl>
    <w:lvl w:ilvl="4">
      <w:start w:val="1"/>
      <w:numFmt w:val="lowerLetter"/>
      <w:lvlText w:val="%5."/>
      <w:lvlJc w:val="left"/>
      <w:pPr>
        <w:ind w:left="2966" w:hanging="360"/>
      </w:pPr>
    </w:lvl>
    <w:lvl w:ilvl="5">
      <w:start w:val="1"/>
      <w:numFmt w:val="lowerRoman"/>
      <w:lvlText w:val="%6."/>
      <w:lvlJc w:val="right"/>
      <w:pPr>
        <w:ind w:left="3686" w:hanging="180"/>
      </w:pPr>
    </w:lvl>
    <w:lvl w:ilvl="6">
      <w:start w:val="1"/>
      <w:numFmt w:val="decimal"/>
      <w:lvlText w:val="%7."/>
      <w:lvlJc w:val="left"/>
      <w:pPr>
        <w:ind w:left="4406" w:hanging="360"/>
      </w:pPr>
    </w:lvl>
    <w:lvl w:ilvl="7">
      <w:start w:val="1"/>
      <w:numFmt w:val="lowerLetter"/>
      <w:lvlText w:val="%8."/>
      <w:lvlJc w:val="left"/>
      <w:pPr>
        <w:ind w:left="5126" w:hanging="360"/>
      </w:pPr>
    </w:lvl>
    <w:lvl w:ilvl="8">
      <w:start w:val="1"/>
      <w:numFmt w:val="lowerRoman"/>
      <w:lvlText w:val="%9."/>
      <w:lvlJc w:val="right"/>
      <w:pPr>
        <w:ind w:left="5846" w:hanging="180"/>
      </w:pPr>
    </w:lvl>
  </w:abstractNum>
  <w:abstractNum w:abstractNumId="5" w15:restartNumberingAfterBreak="0">
    <w:nsid w:val="66F63691"/>
    <w:multiLevelType w:val="multilevel"/>
    <w:tmpl w:val="36CEF6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70C516B2"/>
    <w:multiLevelType w:val="multilevel"/>
    <w:tmpl w:val="B41875C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D933420"/>
    <w:multiLevelType w:val="hybridMultilevel"/>
    <w:tmpl w:val="CCBCFF30"/>
    <w:lvl w:ilvl="0" w:tplc="C5C46400">
      <w:start w:val="1"/>
      <w:numFmt w:val="decimal"/>
      <w:lvlText w:val="%1."/>
      <w:lvlJc w:val="left"/>
      <w:pPr>
        <w:ind w:left="720" w:hanging="360"/>
      </w:pPr>
      <w:rPr>
        <w:rFonts w:ascii="Euphemia" w:hAnsi="Euphem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47"/>
    <w:rsid w:val="000104B2"/>
    <w:rsid w:val="00013C32"/>
    <w:rsid w:val="000240FC"/>
    <w:rsid w:val="000B3A5A"/>
    <w:rsid w:val="000D3C02"/>
    <w:rsid w:val="000D6C64"/>
    <w:rsid w:val="000F4A48"/>
    <w:rsid w:val="001063C9"/>
    <w:rsid w:val="00111A07"/>
    <w:rsid w:val="001223BE"/>
    <w:rsid w:val="0013692B"/>
    <w:rsid w:val="00163FD5"/>
    <w:rsid w:val="001B4C78"/>
    <w:rsid w:val="001B60F3"/>
    <w:rsid w:val="001F26CD"/>
    <w:rsid w:val="001F48FB"/>
    <w:rsid w:val="00210F34"/>
    <w:rsid w:val="002349CF"/>
    <w:rsid w:val="00237A13"/>
    <w:rsid w:val="00243ACF"/>
    <w:rsid w:val="00245847"/>
    <w:rsid w:val="00245B04"/>
    <w:rsid w:val="00252572"/>
    <w:rsid w:val="002869CB"/>
    <w:rsid w:val="00293EDD"/>
    <w:rsid w:val="002A7BDB"/>
    <w:rsid w:val="002C4069"/>
    <w:rsid w:val="002D6182"/>
    <w:rsid w:val="002F4BE0"/>
    <w:rsid w:val="00301E36"/>
    <w:rsid w:val="003053F4"/>
    <w:rsid w:val="00392BBF"/>
    <w:rsid w:val="003B1D56"/>
    <w:rsid w:val="003B3DBF"/>
    <w:rsid w:val="003C188A"/>
    <w:rsid w:val="003E20A6"/>
    <w:rsid w:val="003F54C6"/>
    <w:rsid w:val="00402D89"/>
    <w:rsid w:val="004075A3"/>
    <w:rsid w:val="00447D4D"/>
    <w:rsid w:val="00447F02"/>
    <w:rsid w:val="00467264"/>
    <w:rsid w:val="00482C51"/>
    <w:rsid w:val="004A2439"/>
    <w:rsid w:val="004D41D8"/>
    <w:rsid w:val="004F0E91"/>
    <w:rsid w:val="004F352E"/>
    <w:rsid w:val="005053AC"/>
    <w:rsid w:val="00540118"/>
    <w:rsid w:val="00552858"/>
    <w:rsid w:val="005570C5"/>
    <w:rsid w:val="005814DD"/>
    <w:rsid w:val="0058189D"/>
    <w:rsid w:val="005A69F3"/>
    <w:rsid w:val="005A72FC"/>
    <w:rsid w:val="0060277E"/>
    <w:rsid w:val="0060639E"/>
    <w:rsid w:val="00624CD5"/>
    <w:rsid w:val="00636AF9"/>
    <w:rsid w:val="00636DB0"/>
    <w:rsid w:val="00642A47"/>
    <w:rsid w:val="006445D2"/>
    <w:rsid w:val="00680069"/>
    <w:rsid w:val="00685A40"/>
    <w:rsid w:val="00687B68"/>
    <w:rsid w:val="006973D6"/>
    <w:rsid w:val="006D3990"/>
    <w:rsid w:val="006E30B9"/>
    <w:rsid w:val="006E5D1A"/>
    <w:rsid w:val="00701188"/>
    <w:rsid w:val="00706094"/>
    <w:rsid w:val="00737B1A"/>
    <w:rsid w:val="0078345F"/>
    <w:rsid w:val="007942C8"/>
    <w:rsid w:val="007A53D6"/>
    <w:rsid w:val="007B0C17"/>
    <w:rsid w:val="007B77C1"/>
    <w:rsid w:val="007C78AC"/>
    <w:rsid w:val="007F488C"/>
    <w:rsid w:val="00833758"/>
    <w:rsid w:val="00843D89"/>
    <w:rsid w:val="00846B00"/>
    <w:rsid w:val="00847A22"/>
    <w:rsid w:val="00864E0D"/>
    <w:rsid w:val="008750B4"/>
    <w:rsid w:val="008762AF"/>
    <w:rsid w:val="00894683"/>
    <w:rsid w:val="008B1150"/>
    <w:rsid w:val="008B6950"/>
    <w:rsid w:val="008E05F8"/>
    <w:rsid w:val="008E57A6"/>
    <w:rsid w:val="008F0659"/>
    <w:rsid w:val="008F07E9"/>
    <w:rsid w:val="008F4DD6"/>
    <w:rsid w:val="00907F65"/>
    <w:rsid w:val="009356F1"/>
    <w:rsid w:val="0095467D"/>
    <w:rsid w:val="00965336"/>
    <w:rsid w:val="009743DC"/>
    <w:rsid w:val="00987C89"/>
    <w:rsid w:val="00990E63"/>
    <w:rsid w:val="009917B2"/>
    <w:rsid w:val="009A471F"/>
    <w:rsid w:val="009C3B56"/>
    <w:rsid w:val="009E6C94"/>
    <w:rsid w:val="009E76E1"/>
    <w:rsid w:val="009F2E0F"/>
    <w:rsid w:val="009F708C"/>
    <w:rsid w:val="00A05E4C"/>
    <w:rsid w:val="00A10D5C"/>
    <w:rsid w:val="00A35C7C"/>
    <w:rsid w:val="00A66A19"/>
    <w:rsid w:val="00A83A3D"/>
    <w:rsid w:val="00A87AFD"/>
    <w:rsid w:val="00A92F0B"/>
    <w:rsid w:val="00A96932"/>
    <w:rsid w:val="00AB3F42"/>
    <w:rsid w:val="00AD071C"/>
    <w:rsid w:val="00B17FBA"/>
    <w:rsid w:val="00B60991"/>
    <w:rsid w:val="00B63E74"/>
    <w:rsid w:val="00B777C5"/>
    <w:rsid w:val="00B87266"/>
    <w:rsid w:val="00BB53F6"/>
    <w:rsid w:val="00BC0544"/>
    <w:rsid w:val="00BE32C9"/>
    <w:rsid w:val="00BF702C"/>
    <w:rsid w:val="00C01451"/>
    <w:rsid w:val="00C12144"/>
    <w:rsid w:val="00C15643"/>
    <w:rsid w:val="00C165E4"/>
    <w:rsid w:val="00C316EF"/>
    <w:rsid w:val="00C9689B"/>
    <w:rsid w:val="00C96CEC"/>
    <w:rsid w:val="00CA0073"/>
    <w:rsid w:val="00CA0CE3"/>
    <w:rsid w:val="00CB41E0"/>
    <w:rsid w:val="00D101C1"/>
    <w:rsid w:val="00D119AD"/>
    <w:rsid w:val="00D11A51"/>
    <w:rsid w:val="00D12827"/>
    <w:rsid w:val="00D317A3"/>
    <w:rsid w:val="00D4686B"/>
    <w:rsid w:val="00D5438C"/>
    <w:rsid w:val="00D86430"/>
    <w:rsid w:val="00DD1686"/>
    <w:rsid w:val="00DD526C"/>
    <w:rsid w:val="00DE1DF9"/>
    <w:rsid w:val="00E0189D"/>
    <w:rsid w:val="00E070B1"/>
    <w:rsid w:val="00E167AF"/>
    <w:rsid w:val="00E177AA"/>
    <w:rsid w:val="00E367C0"/>
    <w:rsid w:val="00E442C3"/>
    <w:rsid w:val="00E4704F"/>
    <w:rsid w:val="00E6069D"/>
    <w:rsid w:val="00E66C0A"/>
    <w:rsid w:val="00E715BF"/>
    <w:rsid w:val="00E875F5"/>
    <w:rsid w:val="00E91154"/>
    <w:rsid w:val="00EB0B2E"/>
    <w:rsid w:val="00EE44D9"/>
    <w:rsid w:val="00EE6E8F"/>
    <w:rsid w:val="00F01DB0"/>
    <w:rsid w:val="00F06096"/>
    <w:rsid w:val="00F065FF"/>
    <w:rsid w:val="00F06B74"/>
    <w:rsid w:val="00F103F9"/>
    <w:rsid w:val="00F31EFE"/>
    <w:rsid w:val="00F34395"/>
    <w:rsid w:val="00F43D6A"/>
    <w:rsid w:val="00F4433D"/>
    <w:rsid w:val="00F5293C"/>
    <w:rsid w:val="00F734AA"/>
    <w:rsid w:val="00F83673"/>
    <w:rsid w:val="00FD05F9"/>
    <w:rsid w:val="00FD63A6"/>
    <w:rsid w:val="00FE59CE"/>
    <w:rsid w:val="01DB418A"/>
    <w:rsid w:val="20DBC7DB"/>
    <w:rsid w:val="2A45282B"/>
    <w:rsid w:val="40D38EF0"/>
    <w:rsid w:val="43A9114B"/>
    <w:rsid w:val="4FC48619"/>
    <w:rsid w:val="56E03558"/>
    <w:rsid w:val="6D51D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AF5C"/>
  <w15:docId w15:val="{6AABDC9D-E79C-40B3-B9F7-DE576506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642A47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642A47"/>
    <w:rPr>
      <w:rFonts w:ascii="Arial" w:eastAsia="Times New Roman" w:hAnsi="Arial" w:cs="Times New Roman"/>
      <w:b/>
      <w:szCs w:val="24"/>
    </w:rPr>
  </w:style>
  <w:style w:type="character" w:styleId="Hyperlink">
    <w:name w:val="Hyperlink"/>
    <w:basedOn w:val="DefaultParagraphFont"/>
    <w:rsid w:val="00642A47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2A4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42A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2A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42A47"/>
    <w:rPr>
      <w:vertAlign w:val="superscript"/>
    </w:rPr>
  </w:style>
  <w:style w:type="paragraph" w:styleId="Title">
    <w:name w:val="Title"/>
    <w:basedOn w:val="Normal"/>
    <w:link w:val="TitleChar"/>
    <w:qFormat/>
    <w:rsid w:val="00642A47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42A47"/>
    <w:rPr>
      <w:rFonts w:ascii="Arial" w:eastAsia="Times New Roman" w:hAnsi="Arial" w:cs="Times New Roman"/>
      <w:b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42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A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42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A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7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1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65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xapple-style-span">
    <w:name w:val="xapple-style-span"/>
    <w:rsid w:val="00965336"/>
  </w:style>
  <w:style w:type="numbering" w:customStyle="1" w:styleId="Style2">
    <w:name w:val="Style2"/>
    <w:uiPriority w:val="99"/>
    <w:rsid w:val="00E66C0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C78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C78AC"/>
    <w:rPr>
      <w:b/>
      <w:bCs/>
    </w:rPr>
  </w:style>
  <w:style w:type="character" w:customStyle="1" w:styleId="normaltextrun">
    <w:name w:val="normaltextrun"/>
    <w:basedOn w:val="DefaultParagraphFont"/>
    <w:rsid w:val="00E875F5"/>
  </w:style>
  <w:style w:type="character" w:customStyle="1" w:styleId="eop">
    <w:name w:val="eop"/>
    <w:basedOn w:val="DefaultParagraphFont"/>
    <w:rsid w:val="00E875F5"/>
  </w:style>
  <w:style w:type="paragraph" w:customStyle="1" w:styleId="paragraph">
    <w:name w:val="paragraph"/>
    <w:basedOn w:val="Normal"/>
    <w:rsid w:val="00E875F5"/>
    <w:pPr>
      <w:spacing w:before="100" w:beforeAutospacing="1" w:after="100" w:afterAutospacing="1"/>
    </w:pPr>
  </w:style>
  <w:style w:type="character" w:customStyle="1" w:styleId="advancedproofingissue">
    <w:name w:val="advancedproofingissue"/>
    <w:basedOn w:val="DefaultParagraphFont"/>
    <w:rsid w:val="00482C51"/>
  </w:style>
  <w:style w:type="character" w:customStyle="1" w:styleId="spellingerror">
    <w:name w:val="spellingerror"/>
    <w:basedOn w:val="DefaultParagraphFont"/>
    <w:rsid w:val="0048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a5b011-5057-46b8-81be-d740091df0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249B31D8C51438259AE8E6DE48F25" ma:contentTypeVersion="16" ma:contentTypeDescription="Create a new document." ma:contentTypeScope="" ma:versionID="40fdc73bba3a20bceadacf88863d2417">
  <xsd:schema xmlns:xsd="http://www.w3.org/2001/XMLSchema" xmlns:xs="http://www.w3.org/2001/XMLSchema" xmlns:p="http://schemas.microsoft.com/office/2006/metadata/properties" xmlns:ns3="8da5b011-5057-46b8-81be-d740091df0f7" xmlns:ns4="b3ae59f7-04e3-4c5a-b60e-55906d30116f" targetNamespace="http://schemas.microsoft.com/office/2006/metadata/properties" ma:root="true" ma:fieldsID="6a7477b7071f859a88e19cc087180a72" ns3:_="" ns4:_="">
    <xsd:import namespace="8da5b011-5057-46b8-81be-d740091df0f7"/>
    <xsd:import namespace="b3ae59f7-04e3-4c5a-b60e-55906d3011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5b011-5057-46b8-81be-d740091df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e59f7-04e3-4c5a-b60e-55906d301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08B8-7BEB-4D26-8F00-8644692F1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E0480-D943-4B16-BB04-8E86F7AA289D}">
  <ds:schemaRefs>
    <ds:schemaRef ds:uri="b3ae59f7-04e3-4c5a-b60e-55906d30116f"/>
    <ds:schemaRef ds:uri="http://schemas.microsoft.com/office/infopath/2007/PartnerControls"/>
    <ds:schemaRef ds:uri="http://purl.org/dc/terms/"/>
    <ds:schemaRef ds:uri="http://schemas.microsoft.com/office/2006/metadata/properties"/>
    <ds:schemaRef ds:uri="8da5b011-5057-46b8-81be-d740091df0f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3375DB-1B91-4E9F-9EA4-52F695F3A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5b011-5057-46b8-81be-d740091df0f7"/>
    <ds:schemaRef ds:uri="b3ae59f7-04e3-4c5a-b60e-55906d301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B2FD7-8E50-4C4D-B85B-EE702EF7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splanemj</dc:creator>
  <cp:keywords/>
  <dc:description/>
  <cp:lastModifiedBy>Mavrodin, Stephanie A</cp:lastModifiedBy>
  <cp:revision>2</cp:revision>
  <dcterms:created xsi:type="dcterms:W3CDTF">2023-01-19T17:54:00Z</dcterms:created>
  <dcterms:modified xsi:type="dcterms:W3CDTF">2023-01-19T17:54:00Z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0x010100D58249B31D8C51438259AE8E6DE48F25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iteId">
    <vt:lpwstr>8b3dd73e-4e72-4679-b191-56da1588712b</vt:lpwstr>
  </property>
  <property fmtid="{D5CDD505-2E9C-101B-9397-08002B2CF9AE}" pid="5" name="MSIP_Label_5e4b1be8-281e-475d-98b0-21c3457e5a46_ActionId">
    <vt:lpwstr>16614f2a-21d4-474c-9584-23fc43841808</vt:lpwstr>
  </property>
  <property fmtid="{D5CDD505-2E9C-101B-9397-08002B2CF9AE}" pid="6" name="MSIP_Label_5e4b1be8-281e-475d-98b0-21c3457e5a46_Method">
    <vt:lpwstr>Standard</vt:lpwstr>
  </property>
  <property fmtid="{D5CDD505-2E9C-101B-9397-08002B2CF9AE}" pid="7" name="MSIP_Label_5e4b1be8-281e-475d-98b0-21c3457e5a46_SetDate">
    <vt:lpwstr>2021-05-22T17:19:05Z</vt:lpwstr>
  </property>
  <property fmtid="{D5CDD505-2E9C-101B-9397-08002B2CF9AE}" pid="8" name="MSIP_Label_5e4b1be8-281e-475d-98b0-21c3457e5a46_Name">
    <vt:lpwstr>Public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ediaServiceImageTags">
    <vt:lpwstr/>
  </property>
</Properties>
</file>