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1F7A81BD" w:rsidR="7EE10B12" w:rsidRPr="00785B69" w:rsidRDefault="54558401" w:rsidP="00785B69">
      <w:pPr>
        <w:jc w:val="center"/>
        <w:rPr>
          <w:b/>
          <w:sz w:val="28"/>
        </w:rPr>
      </w:pPr>
      <w:r w:rsidRPr="760C611F">
        <w:rPr>
          <w:b/>
          <w:bCs/>
          <w:sz w:val="28"/>
          <w:szCs w:val="28"/>
        </w:rPr>
        <w:t xml:space="preserve">Radiology </w:t>
      </w:r>
      <w:r w:rsidR="0BFD00B1" w:rsidRPr="760C611F">
        <w:rPr>
          <w:b/>
          <w:bCs/>
          <w:sz w:val="28"/>
          <w:szCs w:val="28"/>
        </w:rPr>
        <w:t>Contrast Reaction Course</w:t>
      </w:r>
      <w:r w:rsidRPr="760C611F">
        <w:rPr>
          <w:b/>
          <w:bCs/>
          <w:sz w:val="28"/>
          <w:szCs w:val="28"/>
        </w:rPr>
        <w:t xml:space="preserve"> (</w:t>
      </w:r>
      <w:r w:rsidR="3198DBD4" w:rsidRPr="760C611F">
        <w:rPr>
          <w:b/>
          <w:bCs/>
          <w:sz w:val="28"/>
          <w:szCs w:val="28"/>
        </w:rPr>
        <w:t>RAD CON RXN</w:t>
      </w:r>
      <w:r w:rsidRPr="760C611F">
        <w:rPr>
          <w:b/>
          <w:bCs/>
          <w:sz w:val="28"/>
          <w:szCs w:val="28"/>
        </w:rPr>
        <w:t>)</w:t>
      </w:r>
      <w:r w:rsidR="00785B69">
        <w:rPr>
          <w:b/>
          <w:sz w:val="28"/>
        </w:rPr>
        <w:t xml:space="preserve"> </w:t>
      </w:r>
      <w:r w:rsidR="00C23CC0">
        <w:rPr>
          <w:b/>
          <w:bCs/>
          <w:sz w:val="28"/>
          <w:szCs w:val="28"/>
        </w:rPr>
        <w:t>3.23</w:t>
      </w:r>
      <w:r w:rsidR="00785B69" w:rsidRPr="00785B69">
        <w:rPr>
          <w:b/>
          <w:bCs/>
          <w:sz w:val="28"/>
          <w:szCs w:val="28"/>
        </w:rPr>
        <w:t>.23</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7777777" w:rsidR="001E0638" w:rsidRPr="001E0638" w:rsidRDefault="001E0638" w:rsidP="001E0638">
      <w:pPr>
        <w:spacing w:before="240"/>
      </w:pPr>
      <w:r w:rsidRPr="001E0638">
        <w:t xml:space="preserve">Radiology attendings, </w:t>
      </w:r>
      <w:r w:rsidR="00165B32">
        <w:t xml:space="preserve">fellows, </w:t>
      </w:r>
      <w:r w:rsidRPr="001E0638">
        <w:t xml:space="preserve">residents, </w:t>
      </w:r>
      <w:proofErr w:type="gramStart"/>
      <w:r w:rsidRPr="001E0638">
        <w:t>nurses</w:t>
      </w:r>
      <w:proofErr w:type="gramEnd"/>
      <w:r w:rsidRPr="001E0638">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live activity for a maximum of 3.5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5F1923C9" w14:textId="77777777" w:rsidR="00F64C45" w:rsidRDefault="00F64C45" w:rsidP="00C23764">
      <w:pPr>
        <w:jc w:val="both"/>
      </w:pPr>
      <w:r w:rsidRPr="00F64C45">
        <w:t>This activity has been designated as and qualifies for Patient Safety-Risk Management Credit.</w:t>
      </w:r>
    </w:p>
    <w:p w14:paraId="57EA3EE1" w14:textId="2BC5DD68" w:rsidR="00AD519D" w:rsidRPr="00E42773" w:rsidRDefault="00E42773" w:rsidP="00FD75BB">
      <w:pPr>
        <w:rPr>
          <w:b/>
          <w:sz w:val="24"/>
          <w:u w:val="single"/>
        </w:rPr>
      </w:pPr>
      <w:r>
        <w:br w:type="page"/>
      </w:r>
      <w:r w:rsidR="00AD519D" w:rsidRPr="00E42773">
        <w:rPr>
          <w:b/>
          <w:sz w:val="24"/>
          <w:u w:val="single"/>
        </w:rPr>
        <w:lastRenderedPageBreak/>
        <w:t>Schedule</w:t>
      </w:r>
    </w:p>
    <w:p w14:paraId="0620C3F9" w14:textId="77777777" w:rsidR="00E42773" w:rsidRDefault="00E42773" w:rsidP="00E42773">
      <w:pPr>
        <w:spacing w:after="0"/>
        <w:rPr>
          <w:i/>
        </w:rPr>
      </w:pPr>
      <w:r w:rsidRPr="00E42773">
        <w:rPr>
          <w:i/>
        </w:rPr>
        <w:t>Pre-course work</w:t>
      </w:r>
      <w:r>
        <w:rPr>
          <w:i/>
        </w:rPr>
        <w:t xml:space="preserve"> (1 </w:t>
      </w:r>
      <w:proofErr w:type="spellStart"/>
      <w:r>
        <w:rPr>
          <w:i/>
        </w:rPr>
        <w:t>hr</w:t>
      </w:r>
      <w:proofErr w:type="spellEnd"/>
      <w:r>
        <w:rPr>
          <w:i/>
        </w:rPr>
        <w:t>)</w:t>
      </w:r>
      <w:r w:rsidRPr="00E42773">
        <w:rPr>
          <w:i/>
        </w:rPr>
        <w:tab/>
      </w:r>
      <w:r>
        <w:rPr>
          <w:i/>
        </w:rPr>
        <w:tab/>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Pr>
          <w:b/>
        </w:rPr>
        <w:t>2:0</w:t>
      </w:r>
      <w:r w:rsidR="00E753EF">
        <w:rPr>
          <w:b/>
        </w:rPr>
        <w:t xml:space="preserve">0 – </w:t>
      </w:r>
      <w:r>
        <w:rPr>
          <w:b/>
        </w:rPr>
        <w:t>2:3</w:t>
      </w:r>
      <w:r w:rsidR="00E753EF">
        <w:rPr>
          <w:b/>
        </w:rPr>
        <w:t>0 pm</w:t>
      </w:r>
      <w:r w:rsidR="00E753EF">
        <w:rPr>
          <w:b/>
        </w:rPr>
        <w:tab/>
      </w:r>
      <w:r w:rsidR="00E753EF">
        <w:rPr>
          <w:b/>
        </w:rPr>
        <w:tab/>
      </w:r>
      <w:r>
        <w:rPr>
          <w:b/>
        </w:rPr>
        <w:tab/>
      </w:r>
      <w:r w:rsidR="009D0C67">
        <w:t xml:space="preserve">Group debrief and </w:t>
      </w:r>
      <w:r w:rsidR="00FD75BB">
        <w:t>Evaluations.</w:t>
      </w:r>
    </w:p>
    <w:p w14:paraId="632EA161" w14:textId="7777777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0D0B940D" w14:textId="77777777" w:rsidR="00EC0259" w:rsidRDefault="00EC0259" w:rsidP="00B36289">
            <w:pPr>
              <w:ind w:left="2160" w:hanging="2160"/>
              <w:rPr>
                <w:rFonts w:cstheme="minorHAnsi"/>
                <w:b/>
                <w:color w:val="333333"/>
              </w:rPr>
            </w:pPr>
          </w:p>
          <w:p w14:paraId="18DC22A9" w14:textId="77777777" w:rsidR="00B36289" w:rsidRPr="003C541D" w:rsidRDefault="00EC0259" w:rsidP="00B36289">
            <w:pPr>
              <w:ind w:left="2160" w:hanging="2160"/>
              <w:rPr>
                <w:rFonts w:cstheme="minorHAnsi"/>
                <w:b/>
                <w:color w:val="333333"/>
              </w:rPr>
            </w:pPr>
            <w:r>
              <w:rPr>
                <w:rFonts w:cstheme="minorHAnsi"/>
                <w:b/>
                <w:color w:val="333333"/>
              </w:rPr>
              <w:t>Sebek,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77777777" w:rsidR="00FD75BB" w:rsidRDefault="00FD75BB" w:rsidP="00AD519D">
      <w:pPr>
        <w:jc w:val="center"/>
        <w:rPr>
          <w:b/>
          <w:sz w:val="24"/>
          <w:u w:val="single"/>
        </w:rPr>
      </w:pPr>
    </w:p>
    <w:p w14:paraId="5DBB1D1E" w14:textId="77777777" w:rsidR="00FD75BB" w:rsidRDefault="00FD75BB" w:rsidP="00AD519D">
      <w:pPr>
        <w:jc w:val="center"/>
        <w:rPr>
          <w:b/>
          <w:sz w:val="24"/>
          <w:u w:val="single"/>
        </w:rPr>
      </w:pPr>
    </w:p>
    <w:p w14:paraId="6379DA17" w14:textId="77777777" w:rsidR="00FD75BB" w:rsidRDefault="00FD75BB" w:rsidP="00AD519D">
      <w:pPr>
        <w:jc w:val="center"/>
        <w:rPr>
          <w:b/>
          <w:sz w:val="24"/>
          <w:u w:val="single"/>
        </w:rPr>
      </w:pPr>
    </w:p>
    <w:p w14:paraId="11C39764" w14:textId="77777777" w:rsidR="00FD75BB" w:rsidRDefault="00FD75BB" w:rsidP="00AD519D">
      <w:pPr>
        <w:jc w:val="center"/>
        <w:rPr>
          <w:b/>
          <w:sz w:val="24"/>
          <w:u w:val="single"/>
        </w:rPr>
      </w:pPr>
    </w:p>
    <w:p w14:paraId="13D90026" w14:textId="77777777" w:rsidR="00FD75BB" w:rsidRDefault="00FD75BB" w:rsidP="00AD519D">
      <w:pPr>
        <w:jc w:val="center"/>
        <w:rPr>
          <w:b/>
          <w:sz w:val="24"/>
          <w:u w:val="single"/>
        </w:rPr>
      </w:pPr>
    </w:p>
    <w:p w14:paraId="2A441488" w14:textId="77777777" w:rsidR="00FD75BB" w:rsidRDefault="00FD75BB" w:rsidP="00AD519D">
      <w:pPr>
        <w:jc w:val="center"/>
        <w:rPr>
          <w:b/>
          <w:sz w:val="24"/>
          <w:u w:val="single"/>
        </w:rPr>
      </w:pPr>
    </w:p>
    <w:p w14:paraId="12637835" w14:textId="648DAD74" w:rsidR="00AD519D" w:rsidRPr="007A326E" w:rsidRDefault="00AD519D" w:rsidP="00AD519D">
      <w:pPr>
        <w:jc w:val="center"/>
        <w:rPr>
          <w:b/>
          <w:sz w:val="24"/>
          <w:u w:val="single"/>
        </w:rPr>
      </w:pPr>
      <w:r w:rsidRPr="007A326E">
        <w:rPr>
          <w:b/>
          <w:sz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77777777" w:rsidR="00AD519D" w:rsidRPr="009B7FD2" w:rsidRDefault="009B7FD2" w:rsidP="009B7FD2">
      <w:pPr>
        <w:jc w:val="both"/>
      </w:pPr>
      <w:r w:rsidRPr="009B7FD2">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75A5E"/>
    <w:rsid w:val="0029779E"/>
    <w:rsid w:val="002B3D69"/>
    <w:rsid w:val="002C73F5"/>
    <w:rsid w:val="002D150C"/>
    <w:rsid w:val="002F4BD0"/>
    <w:rsid w:val="00434FB4"/>
    <w:rsid w:val="00441414"/>
    <w:rsid w:val="004642F4"/>
    <w:rsid w:val="004C7CDF"/>
    <w:rsid w:val="004E269F"/>
    <w:rsid w:val="00510D37"/>
    <w:rsid w:val="00694943"/>
    <w:rsid w:val="00785B69"/>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23CC0"/>
    <w:rsid w:val="00C27B6E"/>
    <w:rsid w:val="00C657D2"/>
    <w:rsid w:val="00C66870"/>
    <w:rsid w:val="00C71576"/>
    <w:rsid w:val="00C76C2D"/>
    <w:rsid w:val="00CC6A43"/>
    <w:rsid w:val="00CD0C97"/>
    <w:rsid w:val="00CF569D"/>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2.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43CEC-2816-480E-9D34-FC93618C4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2023-06-26T18:03:00Z</dcterms:created>
  <dcterms:modified xsi:type="dcterms:W3CDTF">2023-06-26T18:03:00Z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