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0B1E85DF" w:rsidR="7EE10B12" w:rsidRPr="00895EFF" w:rsidRDefault="54558401" w:rsidP="00785B69">
      <w:pPr>
        <w:jc w:val="center"/>
        <w:rPr>
          <w:b/>
          <w:sz w:val="28"/>
          <w:szCs w:val="28"/>
        </w:rPr>
      </w:pPr>
      <w:r w:rsidRPr="00895EFF">
        <w:rPr>
          <w:b/>
          <w:bCs/>
          <w:sz w:val="28"/>
          <w:szCs w:val="28"/>
        </w:rPr>
        <w:t xml:space="preserve">Radiology </w:t>
      </w:r>
      <w:r w:rsidR="0BFD00B1" w:rsidRPr="00895EFF">
        <w:rPr>
          <w:b/>
          <w:bCs/>
          <w:sz w:val="28"/>
          <w:szCs w:val="28"/>
        </w:rPr>
        <w:t>Contrast Reaction Course</w:t>
      </w:r>
      <w:r w:rsidRPr="00895EFF">
        <w:rPr>
          <w:b/>
          <w:bCs/>
          <w:sz w:val="28"/>
          <w:szCs w:val="28"/>
        </w:rPr>
        <w:t xml:space="preserve"> (</w:t>
      </w:r>
      <w:r w:rsidR="3198DBD4" w:rsidRPr="00895EFF">
        <w:rPr>
          <w:b/>
          <w:bCs/>
          <w:sz w:val="28"/>
          <w:szCs w:val="28"/>
        </w:rPr>
        <w:t>RAD CON RXN</w:t>
      </w:r>
      <w:r w:rsidRPr="00895EFF">
        <w:rPr>
          <w:b/>
          <w:bCs/>
          <w:sz w:val="28"/>
          <w:szCs w:val="28"/>
        </w:rPr>
        <w:t>)</w:t>
      </w:r>
      <w:r w:rsidR="00785B69" w:rsidRPr="00895EFF">
        <w:rPr>
          <w:b/>
          <w:sz w:val="28"/>
          <w:szCs w:val="28"/>
        </w:rPr>
        <w:t xml:space="preserve"> </w:t>
      </w:r>
      <w:r w:rsidR="003A5FDB" w:rsidRPr="00895EFF">
        <w:rPr>
          <w:b/>
          <w:bCs/>
          <w:sz w:val="28"/>
          <w:szCs w:val="28"/>
        </w:rPr>
        <w:t>5.24</w:t>
      </w:r>
      <w:r w:rsidR="00785B69" w:rsidRPr="00895EFF">
        <w:rPr>
          <w:b/>
          <w:bCs/>
          <w:sz w:val="28"/>
          <w:szCs w:val="28"/>
        </w:rPr>
        <w:t>.23</w:t>
      </w:r>
    </w:p>
    <w:p w14:paraId="079E036E" w14:textId="77777777" w:rsidR="003A5FDB" w:rsidRDefault="003A5FDB" w:rsidP="003A5FDB">
      <w:pPr>
        <w:spacing w:after="0" w:line="240" w:lineRule="auto"/>
        <w:jc w:val="center"/>
      </w:pPr>
      <w:r w:rsidRPr="208DEACD">
        <w:rPr>
          <w:sz w:val="24"/>
          <w:szCs w:val="24"/>
        </w:rPr>
        <w:t>Pinnacle</w:t>
      </w:r>
    </w:p>
    <w:p w14:paraId="2C350EA0" w14:textId="6C788D38" w:rsidR="003A5FDB" w:rsidRDefault="003A5FDB" w:rsidP="003A5FDB">
      <w:pPr>
        <w:spacing w:after="0" w:line="240" w:lineRule="auto"/>
        <w:jc w:val="center"/>
        <w:rPr>
          <w:sz w:val="24"/>
          <w:szCs w:val="24"/>
        </w:rPr>
      </w:pPr>
      <w:r w:rsidRPr="208DEACD">
        <w:rPr>
          <w:sz w:val="24"/>
          <w:szCs w:val="24"/>
        </w:rPr>
        <w:t>1500 highlands Drive,</w:t>
      </w:r>
      <w:r>
        <w:rPr>
          <w:sz w:val="24"/>
          <w:szCs w:val="24"/>
        </w:rPr>
        <w:t xml:space="preserve"> </w:t>
      </w:r>
      <w:r w:rsidRPr="208DEACD">
        <w:rPr>
          <w:sz w:val="24"/>
          <w:szCs w:val="24"/>
        </w:rPr>
        <w:t>Lititz, PA, 17543</w:t>
      </w:r>
    </w:p>
    <w:p w14:paraId="53383C0B" w14:textId="10697AE4" w:rsidR="00785B69" w:rsidRPr="00CC6A43" w:rsidRDefault="005B2422" w:rsidP="760C611F">
      <w:pPr>
        <w:jc w:val="center"/>
      </w:pPr>
      <w:r>
        <w:rPr>
          <w:sz w:val="24"/>
          <w:szCs w:val="24"/>
        </w:rPr>
        <w:t>1</w:t>
      </w:r>
      <w:r w:rsidR="00785B69" w:rsidRPr="00CC6A43">
        <w:rPr>
          <w:sz w:val="24"/>
          <w:szCs w:val="24"/>
        </w:rPr>
        <w:t xml:space="preserve">:00 </w:t>
      </w:r>
      <w:r w:rsidR="002F701B">
        <w:rPr>
          <w:sz w:val="24"/>
          <w:szCs w:val="24"/>
        </w:rPr>
        <w:t>P</w:t>
      </w:r>
      <w:r w:rsidR="00785B69" w:rsidRPr="00CC6A43">
        <w:rPr>
          <w:sz w:val="24"/>
          <w:szCs w:val="24"/>
        </w:rPr>
        <w:t>M</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Default="00AD72E1" w:rsidP="00AD72E1">
      <w:pPr>
        <w:pStyle w:val="ListParagraph"/>
        <w:numPr>
          <w:ilvl w:val="0"/>
          <w:numId w:val="2"/>
        </w:numPr>
        <w:ind w:hanging="270"/>
      </w:pPr>
      <w:r w:rsidRPr="00AD72E1">
        <w:t>To become familiar with identification and management of patients with contrast reactions</w:t>
      </w:r>
    </w:p>
    <w:p w14:paraId="1BC9214D" w14:textId="13CA7C8A" w:rsidR="003A5FDB" w:rsidRPr="003A5FDB" w:rsidRDefault="003A5FDB" w:rsidP="003A5FDB">
      <w:pPr>
        <w:rPr>
          <w:bCs/>
          <w:sz w:val="24"/>
        </w:rPr>
      </w:pPr>
      <w:r w:rsidRPr="003A5FDB">
        <w:rPr>
          <w:b/>
          <w:sz w:val="24"/>
        </w:rPr>
        <w:t>Who Should Attend:</w:t>
      </w:r>
      <w:r>
        <w:rPr>
          <w:bCs/>
          <w:sz w:val="24"/>
        </w:rPr>
        <w:t xml:space="preserve"> </w:t>
      </w:r>
      <w:r w:rsidRPr="003A5FDB">
        <w:rPr>
          <w:bCs/>
          <w:sz w:val="24"/>
        </w:rPr>
        <w:t xml:space="preserve">Radiology attendings, fellows, residents, </w:t>
      </w:r>
      <w:r w:rsidR="00895EFF" w:rsidRPr="003A5FDB">
        <w:rPr>
          <w:bCs/>
          <w:sz w:val="24"/>
        </w:rPr>
        <w:t>nurses,</w:t>
      </w:r>
      <w:r w:rsidRPr="003A5FDB">
        <w:rPr>
          <w:bCs/>
          <w:sz w:val="24"/>
        </w:rPr>
        <w:t xml:space="preserve"> and technologists.</w:t>
      </w:r>
    </w:p>
    <w:p w14:paraId="57EA3EE1" w14:textId="2319D628" w:rsidR="00AD519D" w:rsidRPr="00E42773" w:rsidRDefault="00AD519D" w:rsidP="00FD75BB">
      <w:pPr>
        <w:rPr>
          <w:b/>
          <w:sz w:val="24"/>
          <w:u w:val="single"/>
        </w:rPr>
      </w:pPr>
      <w:r w:rsidRPr="00E42773">
        <w:rPr>
          <w:b/>
          <w:sz w:val="24"/>
          <w:u w:val="single"/>
        </w:rPr>
        <w:t>Schedule</w:t>
      </w:r>
    </w:p>
    <w:p w14:paraId="0620C3F9" w14:textId="6F5E3E7E" w:rsidR="00E42773" w:rsidRPr="00D91349" w:rsidRDefault="00E42773" w:rsidP="00D91349">
      <w:pPr>
        <w:pStyle w:val="ListParagraph"/>
        <w:numPr>
          <w:ilvl w:val="0"/>
          <w:numId w:val="3"/>
        </w:numPr>
        <w:spacing w:after="0"/>
        <w:rPr>
          <w:i/>
        </w:rPr>
      </w:pPr>
      <w:r w:rsidRPr="00D91349">
        <w:rPr>
          <w:i/>
        </w:rPr>
        <w:t xml:space="preserve">Pre-course work (1 </w:t>
      </w:r>
      <w:proofErr w:type="spellStart"/>
      <w:r w:rsidRPr="00D91349">
        <w:rPr>
          <w:i/>
        </w:rPr>
        <w:t>hr</w:t>
      </w:r>
      <w:proofErr w:type="spellEnd"/>
      <w:r w:rsidRPr="00D91349">
        <w:rPr>
          <w:i/>
        </w:rPr>
        <w:t>)</w:t>
      </w:r>
      <w:r w:rsidR="00D91349">
        <w:rPr>
          <w:i/>
        </w:rPr>
        <w:t xml:space="preserve"> - </w:t>
      </w:r>
      <w:r w:rsidRPr="00D91349">
        <w:rPr>
          <w:i/>
        </w:rPr>
        <w:t xml:space="preserve">Pre-test, Contrast Reaction Module, References </w:t>
      </w:r>
    </w:p>
    <w:p w14:paraId="7DD19EAE" w14:textId="5FA426F1" w:rsidR="00E42773" w:rsidRPr="00D91349" w:rsidRDefault="009D0C67" w:rsidP="00D91349">
      <w:pPr>
        <w:pStyle w:val="ListParagraph"/>
        <w:numPr>
          <w:ilvl w:val="0"/>
          <w:numId w:val="3"/>
        </w:numPr>
        <w:spacing w:after="0"/>
        <w:rPr>
          <w:bCs/>
        </w:rPr>
      </w:pPr>
      <w:r w:rsidRPr="00D91349">
        <w:rPr>
          <w:bCs/>
        </w:rPr>
        <w:t>Introduction and Orientation</w:t>
      </w:r>
    </w:p>
    <w:p w14:paraId="10B9524E" w14:textId="542474F6" w:rsidR="00C23764" w:rsidRDefault="009D0C67" w:rsidP="00D91349">
      <w:pPr>
        <w:pStyle w:val="ListParagraph"/>
        <w:numPr>
          <w:ilvl w:val="0"/>
          <w:numId w:val="3"/>
        </w:numPr>
        <w:spacing w:after="0"/>
      </w:pPr>
      <w:r>
        <w:t>Scenario Rotations</w:t>
      </w:r>
    </w:p>
    <w:p w14:paraId="429FCBA1" w14:textId="17C42C72" w:rsidR="009D0C67" w:rsidRPr="009D0C67" w:rsidRDefault="009D0C67" w:rsidP="00D91349">
      <w:pPr>
        <w:pStyle w:val="ListParagraph"/>
        <w:numPr>
          <w:ilvl w:val="0"/>
          <w:numId w:val="3"/>
        </w:numPr>
        <w:spacing w:after="0"/>
      </w:pPr>
      <w:r>
        <w:t xml:space="preserve">Group debrief and </w:t>
      </w:r>
      <w:r w:rsidR="00FD75BB">
        <w:t>Evaluations.</w:t>
      </w:r>
    </w:p>
    <w:p w14:paraId="632EA161" w14:textId="1CAF934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65F03DEC" w14:textId="77777777" w:rsidR="003A5FDB" w:rsidRDefault="003A5FDB" w:rsidP="00B36289">
            <w:pPr>
              <w:ind w:left="2160" w:hanging="2160"/>
              <w:rPr>
                <w:rFonts w:cstheme="minorHAnsi"/>
                <w:b/>
                <w:color w:val="333333"/>
              </w:rPr>
            </w:pPr>
          </w:p>
          <w:p w14:paraId="18DC22A9" w14:textId="51B9F4C6" w:rsidR="00B36289" w:rsidRPr="003C541D" w:rsidRDefault="00EC0259" w:rsidP="00B36289">
            <w:pPr>
              <w:ind w:left="2160" w:hanging="2160"/>
              <w:rPr>
                <w:rFonts w:cstheme="minorHAnsi"/>
                <w:b/>
                <w:color w:val="333333"/>
              </w:rPr>
            </w:pPr>
            <w:proofErr w:type="spellStart"/>
            <w:r>
              <w:rPr>
                <w:rFonts w:cstheme="minorHAnsi"/>
                <w:b/>
                <w:color w:val="333333"/>
              </w:rPr>
              <w:t>Sebek</w:t>
            </w:r>
            <w:proofErr w:type="spellEnd"/>
            <w:r>
              <w:rPr>
                <w:rFonts w:cstheme="minorHAnsi"/>
                <w:b/>
                <w:color w:val="333333"/>
              </w:rPr>
              <w:t>,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09E01AB2" w:rsidR="00FD75BB" w:rsidRDefault="003A5FDB" w:rsidP="00AD519D">
      <w:pPr>
        <w:jc w:val="center"/>
        <w:rPr>
          <w:b/>
          <w:sz w:val="24"/>
          <w:u w:val="single"/>
        </w:rPr>
      </w:pPr>
      <w:r w:rsidRPr="003A5FDB">
        <w:rPr>
          <w:noProof/>
        </w:rPr>
        <w:lastRenderedPageBreak/>
        <w:drawing>
          <wp:inline distT="0" distB="0" distL="0" distR="0" wp14:anchorId="72549F17" wp14:editId="535BF558">
            <wp:extent cx="5943600" cy="505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057775"/>
                    </a:xfrm>
                    <a:prstGeom prst="rect">
                      <a:avLst/>
                    </a:prstGeom>
                    <a:noFill/>
                    <a:ln>
                      <a:noFill/>
                    </a:ln>
                  </pic:spPr>
                </pic:pic>
              </a:graphicData>
            </a:graphic>
          </wp:inline>
        </w:drawing>
      </w:r>
    </w:p>
    <w:p w14:paraId="12637835" w14:textId="648DAD74" w:rsidR="00AD519D" w:rsidRPr="00895EFF" w:rsidRDefault="00AD519D" w:rsidP="00AD519D">
      <w:pPr>
        <w:jc w:val="center"/>
        <w:rPr>
          <w:b/>
          <w:sz w:val="20"/>
          <w:szCs w:val="20"/>
          <w:u w:val="single"/>
        </w:rPr>
      </w:pPr>
      <w:r w:rsidRPr="00895EFF">
        <w:rPr>
          <w:b/>
          <w:sz w:val="20"/>
          <w:szCs w:val="20"/>
          <w:u w:val="single"/>
        </w:rPr>
        <w:t>Faculty Disclosure</w:t>
      </w:r>
    </w:p>
    <w:p w14:paraId="0737D478" w14:textId="77777777" w:rsidR="007A326E" w:rsidRPr="00895EFF" w:rsidRDefault="00E554F9" w:rsidP="007A326E">
      <w:pPr>
        <w:keepNext/>
        <w:spacing w:after="0" w:line="240" w:lineRule="auto"/>
        <w:jc w:val="both"/>
        <w:outlineLvl w:val="1"/>
        <w:rPr>
          <w:rFonts w:eastAsia="Times New Roman" w:cs="Arial"/>
          <w:snapToGrid w:val="0"/>
          <w:sz w:val="20"/>
          <w:szCs w:val="20"/>
        </w:rPr>
      </w:pPr>
      <w:r w:rsidRPr="00895EFF">
        <w:rPr>
          <w:rFonts w:eastAsia="Times New Roman" w:cs="Arial"/>
          <w:snapToGrid w:val="0"/>
          <w:sz w:val="2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895EFF" w:rsidRDefault="00E554F9" w:rsidP="007A326E">
      <w:pPr>
        <w:keepNext/>
        <w:spacing w:after="0" w:line="240" w:lineRule="auto"/>
        <w:jc w:val="both"/>
        <w:outlineLvl w:val="1"/>
        <w:rPr>
          <w:rFonts w:eastAsia="Times New Roman" w:cs="Arial"/>
          <w:snapToGrid w:val="0"/>
          <w:sz w:val="20"/>
          <w:szCs w:val="20"/>
        </w:rPr>
      </w:pPr>
    </w:p>
    <w:p w14:paraId="3C331F7C" w14:textId="77777777" w:rsidR="00AD519D" w:rsidRPr="00895EFF" w:rsidRDefault="00AD519D" w:rsidP="00250717">
      <w:pPr>
        <w:rPr>
          <w:b/>
          <w:sz w:val="20"/>
          <w:szCs w:val="20"/>
          <w:u w:val="single"/>
        </w:rPr>
      </w:pPr>
      <w:r w:rsidRPr="00895EFF">
        <w:rPr>
          <w:b/>
          <w:sz w:val="20"/>
          <w:szCs w:val="20"/>
          <w:u w:val="single"/>
        </w:rPr>
        <w:t>Disclaimer Statement</w:t>
      </w:r>
    </w:p>
    <w:p w14:paraId="320F81A7" w14:textId="77777777" w:rsidR="00AD519D" w:rsidRPr="00895EFF" w:rsidRDefault="009B7FD2" w:rsidP="009B7FD2">
      <w:pPr>
        <w:jc w:val="both"/>
        <w:rPr>
          <w:sz w:val="20"/>
          <w:szCs w:val="20"/>
        </w:rPr>
      </w:pPr>
      <w:r w:rsidRPr="00895EFF">
        <w:rPr>
          <w:sz w:val="20"/>
          <w:szCs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895EFF" w:rsidSect="007A326E">
      <w:headerReference w:type="default" r:id="rId11"/>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04B"/>
    <w:multiLevelType w:val="hybridMultilevel"/>
    <w:tmpl w:val="CD8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2"/>
  </w:num>
  <w:num w:numId="2" w16cid:durableId="196623619">
    <w:abstractNumId w:val="1"/>
  </w:num>
  <w:num w:numId="3" w16cid:durableId="19443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2F701B"/>
    <w:rsid w:val="003A5FDB"/>
    <w:rsid w:val="00434FB4"/>
    <w:rsid w:val="00441414"/>
    <w:rsid w:val="004642F4"/>
    <w:rsid w:val="004C7CDF"/>
    <w:rsid w:val="004E269F"/>
    <w:rsid w:val="00510D37"/>
    <w:rsid w:val="005B2422"/>
    <w:rsid w:val="006529B7"/>
    <w:rsid w:val="00694943"/>
    <w:rsid w:val="00785B69"/>
    <w:rsid w:val="00786C28"/>
    <w:rsid w:val="007A326E"/>
    <w:rsid w:val="007C2D7F"/>
    <w:rsid w:val="007C7782"/>
    <w:rsid w:val="00895EFF"/>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C6A43"/>
    <w:rsid w:val="00CD0C97"/>
    <w:rsid w:val="00CF569D"/>
    <w:rsid w:val="00D91349"/>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2.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3.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2023-06-16T16:46:00Z</dcterms:created>
  <dcterms:modified xsi:type="dcterms:W3CDTF">2023-06-16T16:46:00Z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