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081A2B"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5D7CAD86"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6B395F">
        <w:rPr>
          <w:rFonts w:ascii="Arial" w:hAnsi="Arial" w:cs="Arial"/>
          <w:sz w:val="24"/>
          <w:szCs w:val="24"/>
        </w:rPr>
        <w:t xml:space="preserve">November </w:t>
      </w:r>
      <w:r w:rsidR="00EE36D7">
        <w:rPr>
          <w:rFonts w:ascii="Arial" w:hAnsi="Arial" w:cs="Arial"/>
          <w:sz w:val="24"/>
          <w:szCs w:val="24"/>
        </w:rPr>
        <w:t>9</w:t>
      </w:r>
      <w:r w:rsidR="006B395F">
        <w:rPr>
          <w:rFonts w:ascii="Arial" w:hAnsi="Arial" w:cs="Arial"/>
          <w:sz w:val="24"/>
          <w:szCs w:val="24"/>
        </w:rPr>
        <w:t xml:space="preserve">, </w:t>
      </w:r>
      <w:r w:rsidR="001D7035">
        <w:rPr>
          <w:rFonts w:ascii="Arial" w:hAnsi="Arial" w:cs="Arial"/>
          <w:sz w:val="24"/>
          <w:szCs w:val="24"/>
        </w:rPr>
        <w:t>2024</w:t>
      </w:r>
    </w:p>
    <w:p w14:paraId="5D3D2949" w14:textId="6E51F6C2"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9E1BAD">
        <w:rPr>
          <w:rFonts w:ascii="Arial" w:hAnsi="Arial" w:cs="Arial"/>
          <w:sz w:val="24"/>
          <w:szCs w:val="24"/>
        </w:rPr>
        <w:t xml:space="preserve">: </w:t>
      </w:r>
      <w:r w:rsidR="00671566">
        <w:rPr>
          <w:rFonts w:ascii="Arial" w:hAnsi="Arial" w:cs="Arial"/>
          <w:sz w:val="24"/>
          <w:szCs w:val="24"/>
        </w:rPr>
        <w:t>11:30 A</w:t>
      </w:r>
      <w:r w:rsidR="00DC67A4">
        <w:rPr>
          <w:rFonts w:ascii="Arial" w:hAnsi="Arial" w:cs="Arial"/>
          <w:sz w:val="24"/>
          <w:szCs w:val="24"/>
        </w:rPr>
        <w:t>M</w:t>
      </w:r>
      <w:r w:rsidR="006B395F">
        <w:rPr>
          <w:rFonts w:ascii="Arial" w:hAnsi="Arial" w:cs="Arial"/>
          <w:sz w:val="24"/>
          <w:szCs w:val="24"/>
        </w:rPr>
        <w:t xml:space="preserve"> – 12:30 PM</w:t>
      </w:r>
    </w:p>
    <w:bookmarkEnd w:id="2"/>
    <w:p w14:paraId="0A37501D" w14:textId="00A2BD7B" w:rsidR="00D52104" w:rsidRDefault="00E864C0" w:rsidP="00E8278C">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Locati</w:t>
      </w:r>
      <w:r w:rsidR="0091575A">
        <w:rPr>
          <w:rFonts w:ascii="Arial" w:hAnsi="Arial" w:cs="Arial"/>
          <w:sz w:val="24"/>
          <w:szCs w:val="24"/>
        </w:rPr>
        <w:t xml:space="preserve">on: </w:t>
      </w:r>
      <w:r w:rsidR="00340060">
        <w:rPr>
          <w:rFonts w:ascii="Arial" w:hAnsi="Arial" w:cs="Arial"/>
          <w:sz w:val="24"/>
          <w:szCs w:val="24"/>
        </w:rPr>
        <w:t>Geisinger</w:t>
      </w:r>
      <w:r w:rsidR="005057B9">
        <w:rPr>
          <w:rFonts w:ascii="Arial" w:hAnsi="Arial" w:cs="Arial"/>
          <w:sz w:val="24"/>
          <w:szCs w:val="24"/>
        </w:rPr>
        <w:t xml:space="preserve"> </w:t>
      </w:r>
      <w:r w:rsidR="00671566">
        <w:rPr>
          <w:rFonts w:ascii="Arial" w:hAnsi="Arial" w:cs="Arial"/>
          <w:sz w:val="24"/>
          <w:szCs w:val="24"/>
        </w:rPr>
        <w:t>Hospital</w:t>
      </w:r>
    </w:p>
    <w:p w14:paraId="4849CCE4" w14:textId="77777777" w:rsidR="00E8278C" w:rsidRPr="00081A2B" w:rsidRDefault="00E8278C"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02EB378F" w14:textId="77777777" w:rsidR="00DB4ABD" w:rsidRPr="00081A2B" w:rsidRDefault="00DB4ABD" w:rsidP="00264B4A">
      <w:pPr>
        <w:tabs>
          <w:tab w:val="left" w:pos="1080"/>
        </w:tabs>
        <w:jc w:val="center"/>
        <w:rPr>
          <w:rFonts w:ascii="Arial" w:hAnsi="Arial" w:cs="Arial"/>
          <w:b/>
          <w:i/>
          <w:sz w:val="16"/>
          <w:szCs w:val="16"/>
        </w:rPr>
      </w:pPr>
    </w:p>
    <w:p w14:paraId="485B9E7B" w14:textId="02DF3410"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E37917">
        <w:rPr>
          <w:rFonts w:ascii="Arial" w:hAnsi="Arial" w:cs="Arial"/>
          <w:b/>
        </w:rPr>
        <w:t>Cathy Connors</w:t>
      </w:r>
      <w:r w:rsidR="00A06B3E">
        <w:rPr>
          <w:rFonts w:ascii="Arial" w:hAnsi="Arial" w:cs="Arial"/>
          <w:b/>
        </w:rPr>
        <w:t xml:space="preserve">, </w:t>
      </w:r>
      <w:r w:rsidR="00E37917">
        <w:rPr>
          <w:rFonts w:ascii="Arial" w:hAnsi="Arial" w:cs="Arial"/>
          <w:b/>
        </w:rPr>
        <w:t>Northeast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9701130">
    <w:abstractNumId w:val="1"/>
  </w:num>
  <w:num w:numId="2" w16cid:durableId="12612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896"/>
    <w:rsid w:val="00094C50"/>
    <w:rsid w:val="00095795"/>
    <w:rsid w:val="000A5B53"/>
    <w:rsid w:val="000B0427"/>
    <w:rsid w:val="000B1908"/>
    <w:rsid w:val="000C0F57"/>
    <w:rsid w:val="000D36CE"/>
    <w:rsid w:val="000F7FC9"/>
    <w:rsid w:val="0010077D"/>
    <w:rsid w:val="00114ED6"/>
    <w:rsid w:val="00116F8D"/>
    <w:rsid w:val="001266B0"/>
    <w:rsid w:val="00135D9E"/>
    <w:rsid w:val="00141D36"/>
    <w:rsid w:val="0014341D"/>
    <w:rsid w:val="00145BC7"/>
    <w:rsid w:val="001501A5"/>
    <w:rsid w:val="001C0020"/>
    <w:rsid w:val="001D7035"/>
    <w:rsid w:val="001E2919"/>
    <w:rsid w:val="001E31F6"/>
    <w:rsid w:val="0020115D"/>
    <w:rsid w:val="00212237"/>
    <w:rsid w:val="00217C89"/>
    <w:rsid w:val="00236B57"/>
    <w:rsid w:val="002370AA"/>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0060"/>
    <w:rsid w:val="003525D7"/>
    <w:rsid w:val="0037065B"/>
    <w:rsid w:val="003862D4"/>
    <w:rsid w:val="003B1ABD"/>
    <w:rsid w:val="003D1BEA"/>
    <w:rsid w:val="003D70DC"/>
    <w:rsid w:val="003F6BF3"/>
    <w:rsid w:val="003F784F"/>
    <w:rsid w:val="00413533"/>
    <w:rsid w:val="00413DA7"/>
    <w:rsid w:val="00417F91"/>
    <w:rsid w:val="00422A69"/>
    <w:rsid w:val="00447C82"/>
    <w:rsid w:val="00454F9E"/>
    <w:rsid w:val="004814C8"/>
    <w:rsid w:val="004824A6"/>
    <w:rsid w:val="0049067B"/>
    <w:rsid w:val="004928E1"/>
    <w:rsid w:val="004A0893"/>
    <w:rsid w:val="004A4EB5"/>
    <w:rsid w:val="004C109D"/>
    <w:rsid w:val="004C1743"/>
    <w:rsid w:val="004C453A"/>
    <w:rsid w:val="00500656"/>
    <w:rsid w:val="005057B9"/>
    <w:rsid w:val="005211C2"/>
    <w:rsid w:val="00533CAE"/>
    <w:rsid w:val="00544254"/>
    <w:rsid w:val="005469B3"/>
    <w:rsid w:val="00550F26"/>
    <w:rsid w:val="005930DE"/>
    <w:rsid w:val="00594160"/>
    <w:rsid w:val="005C08DB"/>
    <w:rsid w:val="005F4415"/>
    <w:rsid w:val="00634623"/>
    <w:rsid w:val="00637374"/>
    <w:rsid w:val="006564EA"/>
    <w:rsid w:val="00670261"/>
    <w:rsid w:val="00671566"/>
    <w:rsid w:val="006801CE"/>
    <w:rsid w:val="00694F98"/>
    <w:rsid w:val="006B20E1"/>
    <w:rsid w:val="006B395F"/>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1575A"/>
    <w:rsid w:val="0092139A"/>
    <w:rsid w:val="00921D30"/>
    <w:rsid w:val="00935127"/>
    <w:rsid w:val="009642CC"/>
    <w:rsid w:val="0097649B"/>
    <w:rsid w:val="00990804"/>
    <w:rsid w:val="009B33C2"/>
    <w:rsid w:val="009B7F97"/>
    <w:rsid w:val="009E1BAD"/>
    <w:rsid w:val="009E7013"/>
    <w:rsid w:val="009F1D96"/>
    <w:rsid w:val="009F4123"/>
    <w:rsid w:val="009F56AB"/>
    <w:rsid w:val="00A03FA7"/>
    <w:rsid w:val="00A06B3E"/>
    <w:rsid w:val="00A118CC"/>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316AA"/>
    <w:rsid w:val="00C3339F"/>
    <w:rsid w:val="00C35057"/>
    <w:rsid w:val="00C4202B"/>
    <w:rsid w:val="00C64740"/>
    <w:rsid w:val="00C90366"/>
    <w:rsid w:val="00CA04B3"/>
    <w:rsid w:val="00CA745C"/>
    <w:rsid w:val="00CB072A"/>
    <w:rsid w:val="00CB4546"/>
    <w:rsid w:val="00CB4566"/>
    <w:rsid w:val="00CB5E7F"/>
    <w:rsid w:val="00CC295E"/>
    <w:rsid w:val="00CD0C2A"/>
    <w:rsid w:val="00CD276C"/>
    <w:rsid w:val="00CD2FBA"/>
    <w:rsid w:val="00CD3DC0"/>
    <w:rsid w:val="00D00E30"/>
    <w:rsid w:val="00D10184"/>
    <w:rsid w:val="00D262AC"/>
    <w:rsid w:val="00D35242"/>
    <w:rsid w:val="00D50D19"/>
    <w:rsid w:val="00D52104"/>
    <w:rsid w:val="00D76A46"/>
    <w:rsid w:val="00DA16DE"/>
    <w:rsid w:val="00DB4ABD"/>
    <w:rsid w:val="00DB6897"/>
    <w:rsid w:val="00DC4764"/>
    <w:rsid w:val="00DC67A4"/>
    <w:rsid w:val="00DC6916"/>
    <w:rsid w:val="00DD39DB"/>
    <w:rsid w:val="00E05363"/>
    <w:rsid w:val="00E230C5"/>
    <w:rsid w:val="00E27DCD"/>
    <w:rsid w:val="00E339E9"/>
    <w:rsid w:val="00E35E2B"/>
    <w:rsid w:val="00E37917"/>
    <w:rsid w:val="00E622FC"/>
    <w:rsid w:val="00E634F6"/>
    <w:rsid w:val="00E66E1A"/>
    <w:rsid w:val="00E808BE"/>
    <w:rsid w:val="00E8278C"/>
    <w:rsid w:val="00E864C0"/>
    <w:rsid w:val="00E940F3"/>
    <w:rsid w:val="00E95DD3"/>
    <w:rsid w:val="00EA2946"/>
    <w:rsid w:val="00EB2C92"/>
    <w:rsid w:val="00EC34DF"/>
    <w:rsid w:val="00EC43B6"/>
    <w:rsid w:val="00ED65B3"/>
    <w:rsid w:val="00EE36D7"/>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2182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2024-08-13T17:49:00Z</dcterms:created>
  <dcterms:modified xsi:type="dcterms:W3CDTF">2024-08-13T17:49:00Z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2024-08-13T17:49:29Z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65fd2fcf-9f00-4caf-bd4f-c7e30ed6221d</vt:lpwstr>
  </property>
  <property fmtid="{D5CDD505-2E9C-101B-9397-08002B2CF9AE}" pid="8" name="MSIP_Label_5e4b1be8-281e-475d-98b0-21c3457e5a46_ContentBits">
    <vt:lpwstr>0</vt:lpwstr>
  </property>
</Properties>
</file>