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67C" w:rsidRDefault="100F793F" w14:paraId="2C078E63" w14:textId="7DA8FEF2">
      <w:r>
        <w:t>Content Outline:</w:t>
      </w:r>
    </w:p>
    <w:p w:rsidR="67A8D13A" w:rsidP="32D60339" w:rsidRDefault="67A8D13A" w14:paraId="2830A5BD" w14:textId="1A7F9AA9">
      <w:pPr>
        <w:pStyle w:val="ListParagraph"/>
        <w:numPr>
          <w:ilvl w:val="0"/>
          <w:numId w:val="1"/>
        </w:numPr>
        <w:rPr/>
      </w:pPr>
      <w:r w:rsidR="731542C6">
        <w:rPr/>
        <w:t>Review of Bariatric Surgical Options</w:t>
      </w:r>
    </w:p>
    <w:p w:rsidR="731542C6" w:rsidP="32D60339" w:rsidRDefault="731542C6" w14:paraId="2EE4FD3A" w14:textId="22E0C985">
      <w:pPr>
        <w:pStyle w:val="ListParagraph"/>
        <w:numPr>
          <w:ilvl w:val="1"/>
          <w:numId w:val="1"/>
        </w:numPr>
        <w:rPr/>
      </w:pPr>
      <w:r w:rsidR="731542C6">
        <w:rPr/>
        <w:t>Obesity Epidemic (obesityaction.org</w:t>
      </w:r>
      <w:r w:rsidR="731542C6">
        <w:rPr/>
        <w:t>)</w:t>
      </w:r>
    </w:p>
    <w:p w:rsidR="731542C6" w:rsidP="32D60339" w:rsidRDefault="731542C6" w14:paraId="363BCC0E" w14:textId="3C0DE1B4">
      <w:pPr>
        <w:pStyle w:val="ListParagraph"/>
        <w:numPr>
          <w:ilvl w:val="1"/>
          <w:numId w:val="1"/>
        </w:numPr>
        <w:rPr/>
      </w:pPr>
      <w:r w:rsidR="731542C6">
        <w:rPr/>
        <w:t>Obesity Impact (</w:t>
      </w:r>
      <w:hyperlink r:id="R65648a9ab22b4647">
        <w:r w:rsidRPr="32D60339" w:rsidR="731542C6">
          <w:rPr>
            <w:rStyle w:val="Hyperlink"/>
          </w:rPr>
          <w:t>https://www.cdc.gov/obesity/data/adult.html</w:t>
        </w:r>
      </w:hyperlink>
      <w:r w:rsidR="731542C6">
        <w:rPr/>
        <w:t>)</w:t>
      </w:r>
    </w:p>
    <w:p w:rsidR="731542C6" w:rsidP="32D60339" w:rsidRDefault="731542C6" w14:paraId="11B771C7" w14:textId="68BFC5E4">
      <w:pPr>
        <w:pStyle w:val="ListParagraph"/>
        <w:numPr>
          <w:ilvl w:val="1"/>
          <w:numId w:val="1"/>
        </w:numPr>
        <w:rPr/>
      </w:pPr>
      <w:r w:rsidR="731542C6">
        <w:rPr/>
        <w:t>Anatomy review</w:t>
      </w:r>
    </w:p>
    <w:p w:rsidR="731542C6" w:rsidP="32D60339" w:rsidRDefault="731542C6" w14:paraId="007F416E" w14:textId="0F6D31C2">
      <w:pPr>
        <w:pStyle w:val="ListParagraph"/>
        <w:numPr>
          <w:ilvl w:val="1"/>
          <w:numId w:val="1"/>
        </w:numPr>
        <w:rPr/>
      </w:pPr>
      <w:r w:rsidR="731542C6">
        <w:rPr/>
        <w:t>Surgical options</w:t>
      </w:r>
    </w:p>
    <w:p w:rsidR="4243EAA1" w:rsidP="32D60339" w:rsidRDefault="4243EAA1" w14:paraId="195F0AAD" w14:textId="7415A827">
      <w:pPr>
        <w:spacing w:line="276" w:lineRule="auto"/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r w:rsidRPr="32D60339" w:rsidR="4243EAA1">
        <w:rPr>
          <w:rFonts w:ascii="Calibri" w:hAnsi="Calibri" w:eastAsia="Calibri" w:cs="Calibri"/>
          <w:noProof w:val="0"/>
          <w:sz w:val="22"/>
          <w:szCs w:val="22"/>
          <w:lang w:val="en-US"/>
        </w:rPr>
        <w:t>(ASMBS (2022). The FELLOW Project: Sleeve Gastrectomy Video Review: Technique, Tips, and Tricks Presented by an Expert Panel. The FELLOW Project: Sleeve Gastrectomy Video Review: Technique, Tips, and Tricks Presented by an Expert Panel | American Society for Metabolic and Bariatric Surgery (asmbs.org)</w:t>
      </w:r>
    </w:p>
    <w:p w:rsidR="731542C6" w:rsidP="32D60339" w:rsidRDefault="731542C6" w14:paraId="4053E55F" w14:textId="3EA79230">
      <w:pPr>
        <w:pStyle w:val="ListParagraph"/>
        <w:numPr>
          <w:ilvl w:val="0"/>
          <w:numId w:val="1"/>
        </w:numPr>
        <w:rPr/>
      </w:pPr>
      <w:r w:rsidR="731542C6">
        <w:rPr/>
        <w:t>Pre-operative Screening</w:t>
      </w:r>
    </w:p>
    <w:p w:rsidR="731542C6" w:rsidP="32D60339" w:rsidRDefault="731542C6" w14:paraId="6B681B8F" w14:textId="027E4F11">
      <w:pPr>
        <w:pStyle w:val="ListParagraph"/>
        <w:numPr>
          <w:ilvl w:val="1"/>
          <w:numId w:val="1"/>
        </w:numPr>
        <w:rPr/>
      </w:pPr>
      <w:r w:rsidR="731542C6">
        <w:rPr/>
        <w:t>Surgical appointments</w:t>
      </w:r>
    </w:p>
    <w:p w:rsidR="731542C6" w:rsidP="32D60339" w:rsidRDefault="731542C6" w14:paraId="215ED76D" w14:textId="58EA7DB0">
      <w:pPr>
        <w:pStyle w:val="ListParagraph"/>
        <w:numPr>
          <w:ilvl w:val="1"/>
          <w:numId w:val="1"/>
        </w:numPr>
        <w:rPr/>
      </w:pPr>
      <w:r w:rsidR="731542C6">
        <w:rPr/>
        <w:t>Pre-operative requirements</w:t>
      </w:r>
    </w:p>
    <w:p w:rsidR="731542C6" w:rsidP="32D60339" w:rsidRDefault="731542C6" w14:paraId="4FD68763" w14:textId="5A50C297">
      <w:pPr>
        <w:pStyle w:val="ListParagraph"/>
        <w:numPr>
          <w:ilvl w:val="1"/>
          <w:numId w:val="1"/>
        </w:numPr>
        <w:rPr/>
      </w:pPr>
      <w:r w:rsidR="731542C6">
        <w:rPr/>
        <w:t>Medications</w:t>
      </w:r>
    </w:p>
    <w:p w:rsidR="731542C6" w:rsidP="32D60339" w:rsidRDefault="731542C6" w14:paraId="7DA59AEF" w14:textId="04E348C9">
      <w:pPr>
        <w:pStyle w:val="ListParagraph"/>
        <w:numPr>
          <w:ilvl w:val="1"/>
          <w:numId w:val="1"/>
        </w:numPr>
        <w:rPr/>
      </w:pPr>
      <w:r w:rsidR="731542C6">
        <w:rPr/>
        <w:t>Infection prevention</w:t>
      </w:r>
    </w:p>
    <w:p w:rsidR="731542C6" w:rsidP="32D60339" w:rsidRDefault="731542C6" w14:paraId="0664D5BA" w14:textId="17A93645">
      <w:pPr>
        <w:pStyle w:val="ListParagraph"/>
        <w:numPr>
          <w:ilvl w:val="0"/>
          <w:numId w:val="1"/>
        </w:numPr>
        <w:rPr/>
      </w:pPr>
      <w:r w:rsidR="731542C6">
        <w:rPr/>
        <w:t>Bariatric Post-Operative Care and Complications</w:t>
      </w:r>
    </w:p>
    <w:p w:rsidR="7E9D8F3D" w:rsidP="32D60339" w:rsidRDefault="7E9D8F3D" w14:paraId="57D67F26" w14:textId="1E9AB302">
      <w:pPr>
        <w:pStyle w:val="Normal"/>
        <w:ind w:left="0"/>
      </w:pPr>
      <w:r w:rsidR="7E9D8F3D">
        <w:rPr/>
        <w:t xml:space="preserve"> (</w:t>
      </w:r>
      <w:r w:rsidRPr="32D60339" w:rsidR="7E9D8F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Clinical practice guidelines for the perioperative nutrition, metabolic, and nonsurgical support of patients undergoing bariatric procedures – 2019 update: cosponsored by American Association of Clinical Endocrinologists/American College of Endocrinology, The Obesity Society, American Society for Metabolic &amp; Bariatric Surgery, Obesity Medicine Association, and American Society of Anesthesiologists. Surgery for Obesity and Related Diseases. 16 (2020) 175-247. </w:t>
      </w:r>
      <w:hyperlink r:id="R50b5c8100ffb4898">
        <w:r w:rsidRPr="32D60339" w:rsidR="7E9D8F3D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https://doi.org/10.4158/GL-2019-0406)</w:t>
        </w:r>
      </w:hyperlink>
    </w:p>
    <w:p w:rsidR="0D9CBF81" w:rsidP="32D60339" w:rsidRDefault="0D9CBF81" w14:paraId="49F9F7D4" w14:textId="14A019C7">
      <w:pPr>
        <w:pStyle w:val="ListParagraph"/>
        <w:numPr>
          <w:ilvl w:val="1"/>
          <w:numId w:val="1"/>
        </w:numPr>
        <w:rPr/>
      </w:pPr>
      <w:r w:rsidR="0D9CBF81">
        <w:rPr/>
        <w:t>Postoperative nursing care &amp; assessment</w:t>
      </w:r>
    </w:p>
    <w:p w:rsidR="0D9CBF81" w:rsidP="32D60339" w:rsidRDefault="0D9CBF81" w14:paraId="1B71DE95" w14:textId="257EF840">
      <w:pPr>
        <w:pStyle w:val="ListParagraph"/>
        <w:numPr>
          <w:ilvl w:val="2"/>
          <w:numId w:val="1"/>
        </w:numPr>
        <w:rPr/>
      </w:pPr>
      <w:r w:rsidR="0D9CBF81">
        <w:rPr/>
        <w:t>Full head-to-toe assessment + focused assessments</w:t>
      </w:r>
    </w:p>
    <w:p w:rsidR="0D9CBF81" w:rsidP="32D60339" w:rsidRDefault="0D9CBF81" w14:paraId="47B4156A" w14:textId="63439B3D">
      <w:pPr>
        <w:pStyle w:val="ListParagraph"/>
        <w:numPr>
          <w:ilvl w:val="1"/>
          <w:numId w:val="1"/>
        </w:numPr>
        <w:rPr/>
      </w:pPr>
      <w:r w:rsidR="0D9CBF81">
        <w:rPr/>
        <w:t>Pain Management</w:t>
      </w:r>
    </w:p>
    <w:p w:rsidR="7E195D1B" w:rsidP="32D60339" w:rsidRDefault="7E195D1B" w14:paraId="0A43DDBE" w14:textId="079B3D41">
      <w:pPr>
        <w:pStyle w:val="ListParagraph"/>
        <w:numPr>
          <w:ilvl w:val="2"/>
          <w:numId w:val="1"/>
        </w:numPr>
        <w:rPr/>
      </w:pPr>
      <w:r w:rsidR="7E195D1B">
        <w:rPr/>
        <w:t>Scheduled pain medication, PO PRN, IV PRN</w:t>
      </w:r>
    </w:p>
    <w:p w:rsidR="7E195D1B" w:rsidP="32D60339" w:rsidRDefault="7E195D1B" w14:paraId="57095EA0" w14:textId="5FB5C98B">
      <w:pPr>
        <w:pStyle w:val="ListParagraph"/>
        <w:numPr>
          <w:ilvl w:val="2"/>
          <w:numId w:val="1"/>
        </w:numPr>
        <w:rPr/>
      </w:pPr>
      <w:r w:rsidR="7E195D1B">
        <w:rPr/>
        <w:t>Pain reassessments and nonpharmacological measures</w:t>
      </w:r>
    </w:p>
    <w:p w:rsidR="0D9CBF81" w:rsidP="32D60339" w:rsidRDefault="0D9CBF81" w14:paraId="79DEF303" w14:textId="6C0AB53B">
      <w:pPr>
        <w:pStyle w:val="ListParagraph"/>
        <w:numPr>
          <w:ilvl w:val="1"/>
          <w:numId w:val="1"/>
        </w:numPr>
        <w:rPr/>
      </w:pPr>
      <w:r w:rsidR="0D9CBF81">
        <w:rPr/>
        <w:t>Glucose Control</w:t>
      </w:r>
    </w:p>
    <w:p w:rsidR="51A70730" w:rsidP="32D60339" w:rsidRDefault="51A70730" w14:paraId="2808D467" w14:textId="1CA50DDE">
      <w:pPr>
        <w:pStyle w:val="ListParagraph"/>
        <w:numPr>
          <w:ilvl w:val="2"/>
          <w:numId w:val="1"/>
        </w:numPr>
        <w:rPr/>
      </w:pPr>
      <w:r w:rsidR="51A70730">
        <w:rPr/>
        <w:t>A1C, Bariatric Sugar Free Clears, BGM/CGM</w:t>
      </w:r>
    </w:p>
    <w:p w:rsidR="0D9CBF81" w:rsidP="32D60339" w:rsidRDefault="0D9CBF81" w14:paraId="3806BA54" w14:textId="0A94BB2D">
      <w:pPr>
        <w:pStyle w:val="ListParagraph"/>
        <w:numPr>
          <w:ilvl w:val="1"/>
          <w:numId w:val="1"/>
        </w:numPr>
        <w:rPr/>
      </w:pPr>
      <w:r w:rsidR="0D9CBF81">
        <w:rPr/>
        <w:t>Surgical Complication</w:t>
      </w:r>
    </w:p>
    <w:p w:rsidR="1A61D420" w:rsidP="32D60339" w:rsidRDefault="1A61D420" w14:paraId="0194329E" w14:textId="2B33B12B">
      <w:pPr>
        <w:spacing w:line="276" w:lineRule="auto"/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r w:rsidRPr="32D60339" w:rsidR="1A61D42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(Clinical practice guidelines for the perioperative nutrition, metabolic, and nonsurgical support of patients undergoing bariatric procedures – 2019 update: cosponsored by American Association of Clinical Endocrinologists/American College of Endocrinology, The Obesity Society, American Society for Metabolic &amp; Bariatric Surgery, Obesity Medicine Association, and American Society of Anesthesiologists. Surgery for Obesity and Related Diseases. 16 (2020) 175-247. </w:t>
      </w:r>
      <w:hyperlink r:id="R403af025b55d47ee">
        <w:r w:rsidRPr="32D60339" w:rsidR="1A61D420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https://doi.org/10.4158/GL-2019-0406)</w:t>
        </w:r>
      </w:hyperlink>
    </w:p>
    <w:p w:rsidR="490D5DE4" w:rsidP="32D60339" w:rsidRDefault="490D5DE4" w14:paraId="319A8A0B" w14:textId="696CE43C">
      <w:pPr>
        <w:pStyle w:val="ListParagraph"/>
        <w:numPr>
          <w:ilvl w:val="2"/>
          <w:numId w:val="1"/>
        </w:numPr>
        <w:rPr/>
      </w:pPr>
      <w:r w:rsidR="490D5DE4">
        <w:rPr/>
        <w:t>Gastroint</w:t>
      </w:r>
      <w:r w:rsidR="490D5DE4">
        <w:rPr/>
        <w:t>estinal complications</w:t>
      </w:r>
    </w:p>
    <w:p w:rsidR="490D5DE4" w:rsidP="32D60339" w:rsidRDefault="490D5DE4" w14:paraId="25580B5A" w14:textId="50068E63">
      <w:pPr>
        <w:pStyle w:val="ListParagraph"/>
        <w:numPr>
          <w:ilvl w:val="3"/>
          <w:numId w:val="1"/>
        </w:numPr>
        <w:rPr/>
      </w:pPr>
      <w:r w:rsidR="490D5DE4">
        <w:rPr/>
        <w:t>Perforation, obstructions/strictures, anastomosis leak, food intolerance, nausea, vomiting</w:t>
      </w:r>
      <w:r w:rsidR="6CE719F0">
        <w:rPr/>
        <w:t>, dumping syndrome</w:t>
      </w:r>
    </w:p>
    <w:p w:rsidR="490D5DE4" w:rsidP="32D60339" w:rsidRDefault="490D5DE4" w14:paraId="18BB477E" w14:textId="55983A9F">
      <w:pPr>
        <w:pStyle w:val="ListParagraph"/>
        <w:numPr>
          <w:ilvl w:val="2"/>
          <w:numId w:val="1"/>
        </w:numPr>
        <w:rPr/>
      </w:pPr>
      <w:r w:rsidR="490D5DE4">
        <w:rPr/>
        <w:t>Respiratory complications</w:t>
      </w:r>
    </w:p>
    <w:p w:rsidR="0DE9C010" w:rsidP="32D60339" w:rsidRDefault="0DE9C010" w14:paraId="26322EA6" w14:textId="405EA97E">
      <w:pPr>
        <w:pStyle w:val="ListParagraph"/>
        <w:numPr>
          <w:ilvl w:val="3"/>
          <w:numId w:val="1"/>
        </w:numPr>
        <w:rPr/>
      </w:pPr>
      <w:r w:rsidR="0DE9C010">
        <w:rPr/>
        <w:t>DVT/PE</w:t>
      </w:r>
    </w:p>
    <w:p w:rsidR="490D5DE4" w:rsidP="32D60339" w:rsidRDefault="490D5DE4" w14:paraId="59FCBA07" w14:textId="245F60D5">
      <w:pPr>
        <w:pStyle w:val="ListParagraph"/>
        <w:numPr>
          <w:ilvl w:val="2"/>
          <w:numId w:val="1"/>
        </w:numPr>
        <w:rPr/>
      </w:pPr>
      <w:r w:rsidR="490D5DE4">
        <w:rPr/>
        <w:t>Sepsis/wound infection</w:t>
      </w:r>
    </w:p>
    <w:p w:rsidR="0D9CBF81" w:rsidP="32D60339" w:rsidRDefault="0D9CBF81" w14:paraId="2370EBC6" w14:textId="3D62A9BB">
      <w:pPr>
        <w:pStyle w:val="ListParagraph"/>
        <w:numPr>
          <w:ilvl w:val="1"/>
          <w:numId w:val="1"/>
        </w:numPr>
        <w:rPr/>
      </w:pPr>
      <w:r w:rsidR="0D9CBF81">
        <w:rPr/>
        <w:t>Mobility Issues</w:t>
      </w:r>
    </w:p>
    <w:p w:rsidR="66054180" w:rsidP="32D60339" w:rsidRDefault="66054180" w14:paraId="279185A9" w14:textId="6F4288EB">
      <w:pPr>
        <w:pStyle w:val="ListParagraph"/>
        <w:numPr>
          <w:ilvl w:val="2"/>
          <w:numId w:val="1"/>
        </w:numPr>
        <w:rPr/>
      </w:pPr>
      <w:r w:rsidR="66054180">
        <w:rPr/>
        <w:t>Mobility and Safe patient handling program</w:t>
      </w:r>
    </w:p>
    <w:p w:rsidR="5906B951" w:rsidP="32D60339" w:rsidRDefault="5906B951" w14:paraId="2AAED131" w14:textId="7461250B">
      <w:pPr>
        <w:pStyle w:val="ListParagraph"/>
        <w:numPr>
          <w:ilvl w:val="0"/>
          <w:numId w:val="1"/>
        </w:numPr>
        <w:rPr/>
      </w:pPr>
      <w:r w:rsidR="5906B951">
        <w:rPr/>
        <w:t>Outcomes</w:t>
      </w:r>
    </w:p>
    <w:p w:rsidR="5906B951" w:rsidP="32D60339" w:rsidRDefault="5906B951" w14:paraId="6FA1B748" w14:textId="22EA1F91">
      <w:pPr>
        <w:pStyle w:val="ListParagraph"/>
        <w:numPr>
          <w:ilvl w:val="1"/>
          <w:numId w:val="1"/>
        </w:numPr>
        <w:rPr/>
      </w:pPr>
      <w:r w:rsidR="5906B951">
        <w:rPr/>
        <w:t>What are outcomes, how are they tracked and why does it mattter?</w:t>
      </w:r>
    </w:p>
    <w:p w:rsidR="5906B951" w:rsidP="32D60339" w:rsidRDefault="5906B951" w14:paraId="7AE642EA" w14:textId="35F3EBC6">
      <w:pPr>
        <w:pStyle w:val="ListParagraph"/>
        <w:numPr>
          <w:ilvl w:val="2"/>
          <w:numId w:val="1"/>
        </w:numPr>
        <w:rPr/>
      </w:pPr>
      <w:r w:rsidR="5906B951">
        <w:rPr/>
        <w:t>Benchmarks</w:t>
      </w:r>
    </w:p>
    <w:p w:rsidR="5906B951" w:rsidP="32D60339" w:rsidRDefault="5906B951" w14:paraId="03E3B41F" w14:textId="721D288B">
      <w:pPr>
        <w:pStyle w:val="ListParagraph"/>
        <w:numPr>
          <w:ilvl w:val="2"/>
          <w:numId w:val="1"/>
        </w:numPr>
        <w:rPr/>
      </w:pPr>
      <w:r w:rsidR="5906B951">
        <w:rPr/>
        <w:t>Tracking</w:t>
      </w:r>
    </w:p>
    <w:p w:rsidR="5906B951" w:rsidP="32D60339" w:rsidRDefault="5906B951" w14:paraId="473D0B0B" w14:textId="31832790">
      <w:pPr>
        <w:pStyle w:val="ListParagraph"/>
        <w:numPr>
          <w:ilvl w:val="2"/>
          <w:numId w:val="1"/>
        </w:numPr>
        <w:rPr/>
      </w:pPr>
      <w:r w:rsidR="5906B951">
        <w:rPr/>
        <w:t>JCAHO, Centers of Excellence, Blue Distinction, National Accreditation</w:t>
      </w:r>
    </w:p>
    <w:p w:rsidR="5906B951" w:rsidP="32D60339" w:rsidRDefault="5906B951" w14:paraId="4A2424C1" w14:textId="17F8E5D6">
      <w:pPr>
        <w:spacing w:line="276" w:lineRule="auto"/>
        <w:ind w:left="1440" w:firstLine="720"/>
      </w:pPr>
      <w:r w:rsidRPr="32D60339" w:rsidR="5906B951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(</w:t>
      </w:r>
      <w:hyperlink r:id="R6359189576f0469b">
        <w:r w:rsidRPr="32D60339" w:rsidR="5906B951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www.asmbs.org</w:t>
        </w:r>
      </w:hyperlink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: American Society of Metabolic and Bariatric Surgery)</w:t>
      </w:r>
    </w:p>
    <w:p w:rsidR="32D60339" w:rsidP="32D60339" w:rsidRDefault="32D60339" w14:paraId="2B937DC3" w14:textId="4642DF1C">
      <w:pPr>
        <w:pStyle w:val="Normal"/>
        <w:spacing w:line="276" w:lineRule="auto"/>
        <w:ind w:left="1440" w:firstLine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906B951" w:rsidP="32D60339" w:rsidRDefault="5906B951" w14:paraId="44CBBE0C" w14:textId="6A46EA7E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Nutrition Education, Follow-up care, and weight sensitivity</w:t>
      </w:r>
    </w:p>
    <w:p w:rsidR="5906B951" w:rsidP="32D60339" w:rsidRDefault="5906B951" w14:paraId="28CB41DC" w14:textId="68545EDE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(Mechanick JI, 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Youdim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A, Jones DB, et al. Bariatric surgery Clinical Practice Guidelines –2013 update. Surgery for Obesity and Related Diseases. 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2013;9:159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-191.)</w:t>
      </w:r>
    </w:p>
    <w:p w:rsidR="5906B951" w:rsidP="32D60339" w:rsidRDefault="5906B951" w14:paraId="438DF5D1" w14:textId="3604ADE4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Preoperative process</w:t>
      </w:r>
    </w:p>
    <w:p w:rsidR="5906B951" w:rsidP="32D60339" w:rsidRDefault="5906B951" w14:paraId="7EF83C17" w14:textId="6A651E03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Nutrition classes</w:t>
      </w:r>
    </w:p>
    <w:p w:rsidR="5906B951" w:rsidP="32D60339" w:rsidRDefault="5906B951" w14:paraId="71C7084D" w14:textId="5464E92A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Postoperative nutrition</w:t>
      </w:r>
    </w:p>
    <w:p w:rsidR="5906B951" w:rsidP="32D60339" w:rsidRDefault="5906B951" w14:paraId="57AA863D" w14:textId="11A01780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Postopera</w:t>
      </w: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tive education</w:t>
      </w:r>
    </w:p>
    <w:p w:rsidR="5906B951" w:rsidP="32D60339" w:rsidRDefault="5906B951" w14:paraId="73627AD2" w14:textId="445A4E6E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/>
          <w:noProof w:val="0"/>
          <w:sz w:val="22"/>
          <w:szCs w:val="22"/>
          <w:lang w:val="en-US"/>
        </w:rPr>
        <w:t>Weight Sensitivity</w:t>
      </w:r>
    </w:p>
    <w:p w:rsidR="5906B951" w:rsidP="32D60339" w:rsidRDefault="5906B951" w14:paraId="45549B2C" w14:textId="7028CA4B">
      <w:pPr>
        <w:pStyle w:val="Normal"/>
        <w:spacing w:line="240" w:lineRule="exact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(R Puhl, et al. Motivating or stigmatizing? Public 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perceptions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weight-related language used by health providers. International Journal of Obesity (2012), 1–8</w:t>
      </w:r>
      <w:r w:rsidRPr="32D60339" w:rsidR="5906B9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)</w:t>
      </w:r>
    </w:p>
    <w:p w:rsidR="32D60339" w:rsidP="32D60339" w:rsidRDefault="32D60339" w14:paraId="7DF8CB53" w14:textId="404C7D71">
      <w:pPr>
        <w:spacing w:line="240" w:lineRule="exact"/>
        <w:jc w:val="left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771B61"/>
          <w:sz w:val="36"/>
          <w:szCs w:val="36"/>
          <w:lang w:val="en-US"/>
        </w:rPr>
      </w:pPr>
    </w:p>
    <w:p w:rsidR="32D60339" w:rsidP="32D60339" w:rsidRDefault="32D60339" w14:paraId="6BF9F7CF" w14:textId="7CF071C0">
      <w:pPr>
        <w:pStyle w:val="Normal"/>
        <w:spacing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2D60339" w:rsidP="32D60339" w:rsidRDefault="32D60339" w14:paraId="786BC88C" w14:textId="4BF00887">
      <w:pPr>
        <w:pStyle w:val="Normal"/>
        <w:spacing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2D60339" w:rsidP="32D60339" w:rsidRDefault="32D60339" w14:paraId="35EA891C" w14:textId="2EDF6E84">
      <w:pPr>
        <w:pStyle w:val="Normal"/>
        <w:ind w:left="0"/>
      </w:pPr>
    </w:p>
    <w:sectPr w:rsidR="67A8D13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1e22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7c1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7EE210"/>
    <w:rsid w:val="00CB567C"/>
    <w:rsid w:val="0929184B"/>
    <w:rsid w:val="094240A8"/>
    <w:rsid w:val="0AC4E8AC"/>
    <w:rsid w:val="0C60B90D"/>
    <w:rsid w:val="0D9CBF81"/>
    <w:rsid w:val="0DE9C010"/>
    <w:rsid w:val="100F793F"/>
    <w:rsid w:val="13E242B6"/>
    <w:rsid w:val="157E1317"/>
    <w:rsid w:val="1947299B"/>
    <w:rsid w:val="1A61D420"/>
    <w:rsid w:val="1AE2F9FC"/>
    <w:rsid w:val="1BCECF69"/>
    <w:rsid w:val="1CE1178E"/>
    <w:rsid w:val="243A3641"/>
    <w:rsid w:val="266ED177"/>
    <w:rsid w:val="2AA977C5"/>
    <w:rsid w:val="2B42429A"/>
    <w:rsid w:val="32D60339"/>
    <w:rsid w:val="3DCED15B"/>
    <w:rsid w:val="4243EAA1"/>
    <w:rsid w:val="472C8ECD"/>
    <w:rsid w:val="490D5DE4"/>
    <w:rsid w:val="49FB6131"/>
    <w:rsid w:val="4D3301F3"/>
    <w:rsid w:val="51A70730"/>
    <w:rsid w:val="56817CCC"/>
    <w:rsid w:val="5906B951"/>
    <w:rsid w:val="5969778D"/>
    <w:rsid w:val="5CF0BE50"/>
    <w:rsid w:val="5E8C8EB1"/>
    <w:rsid w:val="62BD4F3B"/>
    <w:rsid w:val="6367ED5A"/>
    <w:rsid w:val="66054180"/>
    <w:rsid w:val="67A8D13A"/>
    <w:rsid w:val="6CE719F0"/>
    <w:rsid w:val="6D0ECFA0"/>
    <w:rsid w:val="6EAAA001"/>
    <w:rsid w:val="7006DF11"/>
    <w:rsid w:val="731542C6"/>
    <w:rsid w:val="747EE210"/>
    <w:rsid w:val="74B11327"/>
    <w:rsid w:val="7E195D1B"/>
    <w:rsid w:val="7E9D8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34C9"/>
  <w15:chartTrackingRefBased/>
  <w15:docId w15:val="{B629AC2B-BA24-44A3-8541-B6CBE2AB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dc.gov/obesity/data/adult.html" TargetMode="External" Id="R65648a9ab22b4647" /><Relationship Type="http://schemas.openxmlformats.org/officeDocument/2006/relationships/hyperlink" Target="https://doi.org/10.4158/GL-2019-0406)" TargetMode="External" Id="R50b5c8100ffb4898" /><Relationship Type="http://schemas.openxmlformats.org/officeDocument/2006/relationships/hyperlink" Target="https://doi.org/10.4158/GL-2019-0406)" TargetMode="External" Id="R403af025b55d47ee" /><Relationship Type="http://schemas.openxmlformats.org/officeDocument/2006/relationships/hyperlink" Target="http://www.asmbs.org/" TargetMode="External" Id="R6359189576f0469b" /><Relationship Type="http://schemas.openxmlformats.org/officeDocument/2006/relationships/numbering" Target="numbering.xml" Id="R0029039db5ac44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Flohr, Tiffany</dc:creator>
  <keywords/>
  <dc:description/>
  <lastModifiedBy>Flohr, Tiffany</lastModifiedBy>
  <revision>2</revision>
  <dcterms:created xsi:type="dcterms:W3CDTF">2023-06-01T13:54:00.0000000Z</dcterms:created>
  <dcterms:modified xsi:type="dcterms:W3CDTF">2023-06-01T14:22:46.8699041Z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2023-06-01T13:54:39Z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75357028-83db-4111-824d-65bc432d78fe</vt:lpwstr>
  </property>
  <property fmtid="{D5CDD505-2E9C-101B-9397-08002B2CF9AE}" pid="8" name="MSIP_Label_5e4b1be8-281e-475d-98b0-21c3457e5a46_ContentBits">
    <vt:lpwstr>0</vt:lpwstr>
  </property>
</Properties>
</file>