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2232DDE5" w:rsidR="002E13D5" w:rsidRPr="004A549E" w:rsidRDefault="04B64773" w:rsidP="665566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665566A1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18107EB0" w:rsidRPr="665566A1">
        <w:rPr>
          <w:rStyle w:val="normaltextrun"/>
          <w:rFonts w:asciiTheme="minorHAnsi" w:eastAsiaTheme="minorEastAsia" w:hAnsiTheme="minorHAnsi" w:cstheme="minorBidi"/>
        </w:rPr>
        <w:t>Rapid Assessment of Needs</w:t>
      </w:r>
    </w:p>
    <w:p w14:paraId="01111EBA" w14:textId="23CCCEF4" w:rsidR="00693505" w:rsidRPr="00F90BD6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665566A1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665566A1">
        <w:rPr>
          <w:rFonts w:asciiTheme="minorHAnsi" w:eastAsiaTheme="minorEastAsia" w:hAnsiTheme="minorHAnsi" w:cstheme="minorBidi"/>
        </w:rPr>
        <w:t xml:space="preserve"> </w:t>
      </w:r>
      <w:r w:rsidR="001A2131">
        <w:rPr>
          <w:rFonts w:asciiTheme="minorHAnsi" w:eastAsiaTheme="minorEastAsia" w:hAnsiTheme="minorHAnsi" w:cstheme="minorBidi"/>
        </w:rPr>
        <w:t xml:space="preserve"> Penn’s Rock</w:t>
      </w:r>
      <w:r w:rsidR="00DE0BB6">
        <w:rPr>
          <w:rFonts w:asciiTheme="minorHAnsi" w:eastAsiaTheme="minorEastAsia" w:hAnsiTheme="minorHAnsi" w:cstheme="minorBidi"/>
        </w:rPr>
        <w:t xml:space="preserve"> Primary Care</w:t>
      </w:r>
      <w:r w:rsidR="001A2131">
        <w:rPr>
          <w:rFonts w:asciiTheme="minorHAnsi" w:eastAsiaTheme="minorEastAsia" w:hAnsiTheme="minorHAnsi" w:cstheme="minorBidi"/>
        </w:rPr>
        <w:t xml:space="preserve"> - </w:t>
      </w:r>
      <w:r w:rsidR="001A2131" w:rsidRPr="001A2131">
        <w:rPr>
          <w:rFonts w:asciiTheme="minorHAnsi" w:eastAsiaTheme="minorEastAsia" w:hAnsiTheme="minorHAnsi" w:cstheme="minorBidi"/>
        </w:rPr>
        <w:t>Monika Vansant, DO</w:t>
      </w:r>
      <w:r w:rsidR="001A2131">
        <w:rPr>
          <w:rFonts w:asciiTheme="minorHAnsi" w:eastAsiaTheme="minorEastAsia" w:hAnsiTheme="minorHAnsi" w:cstheme="minorBidi"/>
        </w:rPr>
        <w:t>; Jennifer Mignon</w:t>
      </w:r>
      <w:r w:rsidR="00DE0BB6">
        <w:rPr>
          <w:rFonts w:asciiTheme="minorHAnsi" w:eastAsiaTheme="minorEastAsia" w:hAnsiTheme="minorHAnsi" w:cstheme="minorBidi"/>
        </w:rPr>
        <w:t>, Practice Manager</w:t>
      </w:r>
      <w:r w:rsidR="001A2131">
        <w:rPr>
          <w:rFonts w:asciiTheme="minorHAnsi" w:eastAsiaTheme="minorEastAsia" w:hAnsiTheme="minorHAnsi" w:cstheme="minorBidi"/>
        </w:rPr>
        <w:t>; Jonas Levy</w:t>
      </w:r>
      <w:r w:rsidR="00DE0BB6">
        <w:rPr>
          <w:rFonts w:asciiTheme="minorHAnsi" w:eastAsiaTheme="minorEastAsia" w:hAnsiTheme="minorHAnsi" w:cstheme="minorBidi"/>
        </w:rPr>
        <w:t>, Project Manager</w:t>
      </w:r>
      <w:r w:rsidR="001A2131">
        <w:rPr>
          <w:rFonts w:asciiTheme="minorHAnsi" w:eastAsiaTheme="minorEastAsia" w:hAnsiTheme="minorHAnsi" w:cstheme="minorBidi"/>
        </w:rPr>
        <w:t xml:space="preserve"> and Pitt-PERU -</w:t>
      </w:r>
      <w:r w:rsidR="00DE0BB6">
        <w:rPr>
          <w:rFonts w:asciiTheme="minorHAnsi" w:eastAsiaTheme="minorEastAsia" w:hAnsiTheme="minorHAnsi" w:cstheme="minorBidi"/>
        </w:rPr>
        <w:t xml:space="preserve"> </w:t>
      </w:r>
      <w:r w:rsidR="001A2131" w:rsidRPr="001A2131">
        <w:rPr>
          <w:rFonts w:asciiTheme="minorHAnsi" w:eastAsiaTheme="minorEastAsia" w:hAnsiTheme="minorHAnsi" w:cstheme="minorBidi"/>
        </w:rPr>
        <w:t xml:space="preserve">Christine Crowell </w:t>
      </w:r>
      <w:r w:rsidR="001A2131">
        <w:rPr>
          <w:rFonts w:asciiTheme="minorHAnsi" w:eastAsiaTheme="minorEastAsia" w:hAnsiTheme="minorHAnsi" w:cstheme="minorBidi"/>
        </w:rPr>
        <w:t xml:space="preserve"> </w:t>
      </w:r>
    </w:p>
    <w:p w14:paraId="0D1AEC09" w14:textId="547F6B42" w:rsidR="002948D1" w:rsidRPr="000160B8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5CB3E97B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0160B8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0160B8">
        <w:rPr>
          <w:rStyle w:val="normaltextrun"/>
          <w:rFonts w:asciiTheme="minorHAnsi" w:eastAsiaTheme="minorEastAsia" w:hAnsiTheme="minorHAnsi" w:cstheme="minorBidi"/>
        </w:rPr>
        <w:t>March 12, 2025 from 12pm-1:15pm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665566A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14427BC3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61073AB" w14:textId="77777777" w:rsidR="003B33F1" w:rsidRPr="008533E4" w:rsidRDefault="003B33F1">
      <w:pPr>
        <w:numPr>
          <w:ilvl w:val="0"/>
          <w:numId w:val="3"/>
        </w:numPr>
        <w:spacing w:after="0"/>
        <w:textAlignment w:val="baseline"/>
        <w:rPr>
          <w:rFonts w:eastAsia="Calibri" w:cstheme="minorHAnsi"/>
          <w:color w:val="000000" w:themeColor="text1"/>
          <w:sz w:val="24"/>
          <w:szCs w:val="24"/>
        </w:rPr>
      </w:pPr>
      <w:r w:rsidRPr="008533E4">
        <w:rPr>
          <w:rFonts w:eastAsia="Calibri" w:cstheme="minorHAnsi"/>
          <w:color w:val="000000" w:themeColor="text1"/>
          <w:sz w:val="24"/>
          <w:szCs w:val="24"/>
        </w:rPr>
        <w:t>Explain the benefits of rapid needs assessment on client engagement </w:t>
      </w:r>
    </w:p>
    <w:p w14:paraId="30323F3D" w14:textId="77777777" w:rsidR="003B33F1" w:rsidRPr="008533E4" w:rsidRDefault="003B33F1">
      <w:pPr>
        <w:numPr>
          <w:ilvl w:val="0"/>
          <w:numId w:val="3"/>
        </w:numPr>
        <w:spacing w:after="0"/>
        <w:textAlignment w:val="baseline"/>
        <w:rPr>
          <w:rFonts w:eastAsia="Calibri" w:cstheme="minorHAnsi"/>
          <w:color w:val="000000" w:themeColor="text1"/>
          <w:sz w:val="24"/>
          <w:szCs w:val="24"/>
        </w:rPr>
      </w:pPr>
      <w:r w:rsidRPr="008533E4">
        <w:rPr>
          <w:rFonts w:eastAsia="Calibri" w:cstheme="minorHAnsi"/>
          <w:color w:val="000000" w:themeColor="text1"/>
          <w:sz w:val="24"/>
          <w:szCs w:val="24"/>
        </w:rPr>
        <w:t>Describe the components of a Rapid Assessment of Needs, including which needs to assess rapidly. </w:t>
      </w:r>
    </w:p>
    <w:p w14:paraId="12B0D204" w14:textId="77777777" w:rsidR="003B33F1" w:rsidRPr="008533E4" w:rsidRDefault="003B33F1">
      <w:pPr>
        <w:numPr>
          <w:ilvl w:val="0"/>
          <w:numId w:val="3"/>
        </w:numPr>
        <w:spacing w:after="0"/>
        <w:textAlignment w:val="baseline"/>
        <w:rPr>
          <w:rFonts w:eastAsia="Calibri" w:cstheme="minorHAnsi"/>
          <w:color w:val="000000" w:themeColor="text1"/>
          <w:sz w:val="24"/>
          <w:szCs w:val="24"/>
        </w:rPr>
      </w:pPr>
      <w:r w:rsidRPr="008533E4">
        <w:rPr>
          <w:rFonts w:eastAsia="Calibri" w:cstheme="minorHAnsi"/>
          <w:color w:val="000000" w:themeColor="text1"/>
          <w:sz w:val="24"/>
          <w:szCs w:val="24"/>
        </w:rPr>
        <w:t>Explore strategies for using assessment data to enhance care coordination and improve client outcomes. </w:t>
      </w:r>
    </w:p>
    <w:p w14:paraId="368D3BFF" w14:textId="2C543F6D" w:rsidR="619860E1" w:rsidRPr="00F90BD6" w:rsidRDefault="619860E1" w:rsidP="665566A1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</w:p>
    <w:p w14:paraId="116A5289" w14:textId="5EBD4F76" w:rsidR="619860E1" w:rsidRPr="00F90BD6" w:rsidRDefault="00E74095" w:rsidP="665566A1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665566A1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00E77177" w14:textId="2561F9A8" w:rsidR="003B33F1" w:rsidRPr="008533E4" w:rsidRDefault="4231C4F0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color w:val="000000" w:themeColor="text1"/>
          <w:sz w:val="24"/>
          <w:szCs w:val="24"/>
        </w:rPr>
        <w:t>Introduction</w:t>
      </w:r>
    </w:p>
    <w:p w14:paraId="0F17948E" w14:textId="45501756" w:rsidR="003B33F1" w:rsidRPr="008533E4" w:rsidRDefault="003B33F1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color w:val="000000" w:themeColor="text1"/>
          <w:sz w:val="24"/>
          <w:szCs w:val="24"/>
        </w:rPr>
        <w:t xml:space="preserve">Why do we need a rapid assessment </w:t>
      </w:r>
      <w:r w:rsidR="000F0A2E" w:rsidRPr="008533E4">
        <w:rPr>
          <w:rFonts w:eastAsiaTheme="minorEastAsia"/>
          <w:color w:val="000000" w:themeColor="text1"/>
          <w:sz w:val="24"/>
          <w:szCs w:val="24"/>
        </w:rPr>
        <w:t>of</w:t>
      </w:r>
      <w:r w:rsidRPr="008533E4">
        <w:rPr>
          <w:rFonts w:eastAsiaTheme="minorEastAsia"/>
          <w:color w:val="000000" w:themeColor="text1"/>
          <w:sz w:val="24"/>
          <w:szCs w:val="24"/>
        </w:rPr>
        <w:t xml:space="preserve"> needs?</w:t>
      </w:r>
    </w:p>
    <w:p w14:paraId="2A93701E" w14:textId="5A310406" w:rsidR="003B33F1" w:rsidRPr="008533E4" w:rsidRDefault="0066754F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color w:val="000000" w:themeColor="text1"/>
          <w:sz w:val="24"/>
          <w:szCs w:val="24"/>
        </w:rPr>
        <w:t xml:space="preserve">Hub and Spoke model </w:t>
      </w:r>
    </w:p>
    <w:p w14:paraId="79550EF2" w14:textId="6B5287A1" w:rsidR="0066754F" w:rsidRPr="008533E4" w:rsidRDefault="0066754F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color w:val="000000" w:themeColor="text1"/>
          <w:sz w:val="24"/>
          <w:szCs w:val="24"/>
        </w:rPr>
        <w:t xml:space="preserve">Tailored solutions </w:t>
      </w:r>
    </w:p>
    <w:p w14:paraId="39369674" w14:textId="1DE2E2BE" w:rsidR="0066754F" w:rsidRPr="008533E4" w:rsidRDefault="0066754F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color w:val="000000" w:themeColor="text1"/>
          <w:sz w:val="24"/>
          <w:szCs w:val="24"/>
        </w:rPr>
        <w:t>Ma</w:t>
      </w:r>
      <w:r w:rsidR="008533E4" w:rsidRPr="008533E4">
        <w:rPr>
          <w:rFonts w:eastAsiaTheme="minorEastAsia"/>
          <w:color w:val="000000" w:themeColor="text1"/>
          <w:sz w:val="24"/>
          <w:szCs w:val="24"/>
        </w:rPr>
        <w:t>s</w:t>
      </w:r>
      <w:r w:rsidRPr="008533E4">
        <w:rPr>
          <w:rFonts w:eastAsiaTheme="minorEastAsia"/>
          <w:color w:val="000000" w:themeColor="text1"/>
          <w:sz w:val="24"/>
          <w:szCs w:val="24"/>
        </w:rPr>
        <w:t>low’s hierarchy of needs</w:t>
      </w:r>
    </w:p>
    <w:p w14:paraId="152BF6CE" w14:textId="4212DFE9" w:rsidR="0066754F" w:rsidRPr="008533E4" w:rsidRDefault="0089363A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The compounded of a </w:t>
      </w:r>
      <w:r w:rsidR="000F0A2E" w:rsidRPr="008533E4">
        <w:rPr>
          <w:rFonts w:eastAsiaTheme="minorEastAsia"/>
          <w:sz w:val="24"/>
          <w:szCs w:val="24"/>
        </w:rPr>
        <w:t>rapid</w:t>
      </w:r>
      <w:r w:rsidRPr="008533E4">
        <w:rPr>
          <w:rFonts w:eastAsiaTheme="minorEastAsia"/>
          <w:sz w:val="24"/>
          <w:szCs w:val="24"/>
        </w:rPr>
        <w:t xml:space="preserve"> </w:t>
      </w:r>
      <w:r w:rsidR="000F0A2E" w:rsidRPr="008533E4">
        <w:rPr>
          <w:rFonts w:eastAsiaTheme="minorEastAsia"/>
          <w:sz w:val="24"/>
          <w:szCs w:val="24"/>
        </w:rPr>
        <w:t>assessment</w:t>
      </w:r>
      <w:r w:rsidRPr="008533E4">
        <w:rPr>
          <w:rFonts w:eastAsiaTheme="minorEastAsia"/>
          <w:sz w:val="24"/>
          <w:szCs w:val="24"/>
        </w:rPr>
        <w:t xml:space="preserve"> of needs</w:t>
      </w:r>
    </w:p>
    <w:p w14:paraId="4A33DED3" w14:textId="28FD10BA" w:rsidR="0089363A" w:rsidRPr="008533E4" w:rsidRDefault="0089363A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Fidelity to the CO</w:t>
      </w:r>
      <w:r w:rsidR="00757310">
        <w:rPr>
          <w:rFonts w:eastAsiaTheme="minorEastAsia"/>
          <w:sz w:val="24"/>
          <w:szCs w:val="24"/>
        </w:rPr>
        <w:t>E</w:t>
      </w:r>
      <w:r w:rsidRPr="008533E4">
        <w:rPr>
          <w:rFonts w:eastAsiaTheme="minorEastAsia"/>
          <w:sz w:val="24"/>
          <w:szCs w:val="24"/>
        </w:rPr>
        <w:t xml:space="preserve"> model </w:t>
      </w:r>
    </w:p>
    <w:p w14:paraId="14EA59E4" w14:textId="04B088D4" w:rsidR="0089363A" w:rsidRPr="008533E4" w:rsidRDefault="0089363A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Rapid</w:t>
      </w:r>
    </w:p>
    <w:p w14:paraId="2C4F1E74" w14:textId="2B4C01EA" w:rsidR="0089363A" w:rsidRPr="008533E4" w:rsidRDefault="0089363A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Assessment </w:t>
      </w:r>
    </w:p>
    <w:p w14:paraId="720329C7" w14:textId="58FA73F6" w:rsidR="0089363A" w:rsidRPr="008533E4" w:rsidRDefault="0089363A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Assessment cont. </w:t>
      </w:r>
    </w:p>
    <w:p w14:paraId="5EF9E0B1" w14:textId="2F1C9285" w:rsidR="0089363A" w:rsidRPr="008533E4" w:rsidRDefault="0089363A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Immediate needs</w:t>
      </w:r>
    </w:p>
    <w:p w14:paraId="5779937A" w14:textId="798DFB07" w:rsidR="0089363A" w:rsidRPr="008533E4" w:rsidRDefault="00CD048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Risk of overdo</w:t>
      </w:r>
      <w:r w:rsidR="008533E4" w:rsidRPr="008533E4">
        <w:rPr>
          <w:rFonts w:eastAsiaTheme="minorEastAsia"/>
          <w:sz w:val="24"/>
          <w:szCs w:val="24"/>
        </w:rPr>
        <w:t>se</w:t>
      </w:r>
      <w:r w:rsidRPr="008533E4">
        <w:rPr>
          <w:rFonts w:eastAsiaTheme="minorEastAsia"/>
          <w:sz w:val="24"/>
          <w:szCs w:val="24"/>
        </w:rPr>
        <w:t xml:space="preserve"> </w:t>
      </w:r>
    </w:p>
    <w:p w14:paraId="0479CBEE" w14:textId="607ED039" w:rsidR="00CD0483" w:rsidRPr="008533E4" w:rsidRDefault="00CD048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Transportation </w:t>
      </w:r>
    </w:p>
    <w:p w14:paraId="331122D3" w14:textId="6A68806E" w:rsidR="00CD0483" w:rsidRPr="008533E4" w:rsidRDefault="00CD048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Mental health and psychiatric </w:t>
      </w:r>
    </w:p>
    <w:p w14:paraId="5009B998" w14:textId="30213E08" w:rsidR="00CD0483" w:rsidRPr="008533E4" w:rsidRDefault="00CD048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Support</w:t>
      </w:r>
    </w:p>
    <w:p w14:paraId="7CE68B7E" w14:textId="4C68F265" w:rsidR="00CD0483" w:rsidRPr="008533E4" w:rsidRDefault="00CD048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Housing</w:t>
      </w:r>
    </w:p>
    <w:p w14:paraId="23B25659" w14:textId="6D16FDDC" w:rsidR="007D20BC" w:rsidRPr="008533E4" w:rsidRDefault="007D20BC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Phone access</w:t>
      </w:r>
    </w:p>
    <w:p w14:paraId="2FF47FC0" w14:textId="38A6C9D1" w:rsidR="007D20BC" w:rsidRPr="008533E4" w:rsidRDefault="007D20BC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Discussion question </w:t>
      </w:r>
    </w:p>
    <w:p w14:paraId="1CCE226E" w14:textId="31339B2C" w:rsidR="007D20BC" w:rsidRPr="008533E4" w:rsidRDefault="007D20BC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Referrals for immediate needs </w:t>
      </w:r>
    </w:p>
    <w:p w14:paraId="31ABCAB5" w14:textId="087D6E2B" w:rsidR="007D20BC" w:rsidRPr="008533E4" w:rsidRDefault="007D20BC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Research evidence </w:t>
      </w:r>
    </w:p>
    <w:p w14:paraId="207EF0E2" w14:textId="7C4544C7" w:rsidR="007D20BC" w:rsidRPr="008533E4" w:rsidRDefault="007D20BC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Benefits of a </w:t>
      </w:r>
      <w:r w:rsidR="007D7E3D" w:rsidRPr="008533E4">
        <w:rPr>
          <w:rFonts w:eastAsiaTheme="minorEastAsia"/>
          <w:sz w:val="24"/>
          <w:szCs w:val="24"/>
        </w:rPr>
        <w:t>rapid</w:t>
      </w:r>
      <w:r w:rsidRPr="008533E4">
        <w:rPr>
          <w:rFonts w:eastAsiaTheme="minorEastAsia"/>
          <w:sz w:val="24"/>
          <w:szCs w:val="24"/>
        </w:rPr>
        <w:t xml:space="preserve"> assessment of needs </w:t>
      </w:r>
    </w:p>
    <w:p w14:paraId="58295CAC" w14:textId="1B9816FB" w:rsidR="007D20BC" w:rsidRPr="008533E4" w:rsidRDefault="007D7E3D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Best practices: empathy and </w:t>
      </w:r>
      <w:r w:rsidR="000F0A2E" w:rsidRPr="008533E4">
        <w:rPr>
          <w:rFonts w:eastAsiaTheme="minorEastAsia"/>
          <w:sz w:val="24"/>
          <w:szCs w:val="24"/>
        </w:rPr>
        <w:t>perspective</w:t>
      </w:r>
      <w:r w:rsidRPr="008533E4">
        <w:rPr>
          <w:rFonts w:eastAsiaTheme="minorEastAsia"/>
          <w:sz w:val="24"/>
          <w:szCs w:val="24"/>
        </w:rPr>
        <w:t>-taking (video)</w:t>
      </w:r>
    </w:p>
    <w:p w14:paraId="68742AC3" w14:textId="02A3BFEF" w:rsidR="007D7E3D" w:rsidRPr="008533E4" w:rsidRDefault="0085215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Best pra</w:t>
      </w:r>
      <w:r w:rsidR="000F0A2E" w:rsidRPr="008533E4">
        <w:rPr>
          <w:rFonts w:eastAsiaTheme="minorEastAsia"/>
          <w:sz w:val="24"/>
          <w:szCs w:val="24"/>
        </w:rPr>
        <w:t xml:space="preserve">ctices </w:t>
      </w:r>
    </w:p>
    <w:p w14:paraId="1DBE2A0A" w14:textId="12A7CEAB" w:rsidR="00852153" w:rsidRPr="008533E4" w:rsidRDefault="0085215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Discussion question</w:t>
      </w:r>
    </w:p>
    <w:p w14:paraId="64AE5371" w14:textId="1A0F68CB" w:rsidR="00852153" w:rsidRPr="008533E4" w:rsidRDefault="00852153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Penn’s Rock COE</w:t>
      </w:r>
    </w:p>
    <w:p w14:paraId="51426476" w14:textId="2C26999A" w:rsidR="00852153" w:rsidRPr="008533E4" w:rsidRDefault="000F0A2E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lastRenderedPageBreak/>
        <w:t>Prioritizing</w:t>
      </w:r>
      <w:r w:rsidR="00852153" w:rsidRPr="008533E4">
        <w:rPr>
          <w:rFonts w:eastAsiaTheme="minorEastAsia"/>
          <w:sz w:val="24"/>
          <w:szCs w:val="24"/>
        </w:rPr>
        <w:t xml:space="preserve"> feasibility in rapid assessment </w:t>
      </w:r>
    </w:p>
    <w:p w14:paraId="2C3B52AE" w14:textId="4749C11C" w:rsidR="00852153" w:rsidRPr="008533E4" w:rsidRDefault="000F0A2E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Streamlining the assessment process </w:t>
      </w:r>
    </w:p>
    <w:p w14:paraId="7F7C0FEC" w14:textId="7116CC2D" w:rsidR="009C3AA0" w:rsidRPr="008533E4" w:rsidRDefault="009C3AA0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>Conversation and human-centered</w:t>
      </w:r>
    </w:p>
    <w:p w14:paraId="7F5292D7" w14:textId="1D94BE08" w:rsidR="009C3AA0" w:rsidRPr="008533E4" w:rsidRDefault="009C3AA0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8533E4">
        <w:rPr>
          <w:rFonts w:eastAsiaTheme="minorEastAsia"/>
          <w:sz w:val="24"/>
          <w:szCs w:val="24"/>
        </w:rPr>
        <w:t xml:space="preserve">Summary </w:t>
      </w:r>
    </w:p>
    <w:p w14:paraId="61B0A59F" w14:textId="77777777" w:rsidR="003B33F1" w:rsidRDefault="003B33F1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49F89D20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0DAAC4EA">
        <w:rPr>
          <w:rFonts w:eastAsiaTheme="minorEastAsia"/>
          <w:b/>
          <w:bCs/>
          <w:sz w:val="24"/>
          <w:szCs w:val="24"/>
        </w:rPr>
        <w:t>References:</w:t>
      </w:r>
    </w:p>
    <w:p w14:paraId="02FABD23" w14:textId="5965C72A" w:rsidR="00B74B9E" w:rsidRPr="0001504E" w:rsidRDefault="766B5D97">
      <w:pPr>
        <w:pStyle w:val="ListParagraph"/>
        <w:numPr>
          <w:ilvl w:val="0"/>
          <w:numId w:val="1"/>
        </w:numPr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Alison, L., Alison, E.K., Noone, G.,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Elntib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>, S., &amp; Christiansen, P. (2013). Why Tough Tactics Fail and Rapport Gets Results: Observing Rapport-Based Interpersonal Techniques (ORBIT) to Generate Useful Information From Terrorists. 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Psychology, Public Policy and Law, 19</w:t>
      </w:r>
      <w:r w:rsidRPr="0001504E">
        <w:rPr>
          <w:rFonts w:ascii="Calibri" w:eastAsia="Aptos" w:hAnsi="Calibri" w:cs="Calibri"/>
          <w:sz w:val="20"/>
          <w:szCs w:val="20"/>
        </w:rPr>
        <w:t xml:space="preserve">, 411-431. </w:t>
      </w:r>
      <w:hyperlink r:id="rId9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https://doi.org/10.1037/a0034564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49FCEE66" w14:textId="536643DE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Berg, C.J. (2009). A Comprehensive Framework for Conducting Client Assessments : Highlighting Strengths , Environmental Factors and Hope. </w:t>
      </w:r>
      <w:hyperlink r:id="rId10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https://www.regent.edu/acad/global/publications/jpc/vol3iss2/JPC_V3Is2_Berg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5BD0FD18" w14:textId="0CCAF939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Bogdanowicz, K. M., Stewart, R., Chang, C. K., Downs, J.,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Khondoker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M., Shetty, H., Strang, J., &amp; Hayes,           R. D. (2016). Identifying mortality risks in patients with opioid use disorder using brief screening assessment: Secondary mental health clinical records analysis.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Drug and Alcohol Dependence</w:t>
      </w:r>
      <w:r w:rsidRPr="0001504E">
        <w:rPr>
          <w:rFonts w:ascii="Calibri" w:eastAsia="Aptos" w:hAnsi="Calibri" w:cs="Calibri"/>
          <w:sz w:val="20"/>
          <w:szCs w:val="20"/>
        </w:rPr>
        <w:t>,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164</w:t>
      </w:r>
      <w:r w:rsidRPr="0001504E">
        <w:rPr>
          <w:rFonts w:ascii="Calibri" w:eastAsia="Aptos" w:hAnsi="Calibri" w:cs="Calibri"/>
          <w:sz w:val="20"/>
          <w:szCs w:val="20"/>
        </w:rPr>
        <w:t xml:space="preserve">, 82–88. </w:t>
      </w:r>
      <w:hyperlink r:id="rId11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https://doi.org/10.1016/j.drugalcdep.2016.04.036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504FD5C7" w14:textId="174F7EDD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Bontemps, A. P., Chana, S. M., Hawes, E. S., Rawi, Y. A.,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Cenczyk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C. E., Atkins, L. R., Li, L., &amp; Cropsey, K. L. (2024). Predictors of MOUD referral among persons with involvement in the criminal legal system.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Journal of opioid management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20</w:t>
      </w:r>
      <w:r w:rsidRPr="0001504E">
        <w:rPr>
          <w:rFonts w:ascii="Calibri" w:eastAsia="Aptos" w:hAnsi="Calibri" w:cs="Calibri"/>
          <w:sz w:val="20"/>
          <w:szCs w:val="20"/>
        </w:rPr>
        <w:t xml:space="preserve">(2), 97–102. </w:t>
      </w:r>
      <w:hyperlink r:id="rId12">
        <w:r w:rsidRPr="0001504E">
          <w:rPr>
            <w:rStyle w:val="Hyperlink"/>
            <w:rFonts w:ascii="Calibri" w:eastAsia="Aptos" w:hAnsi="Calibri" w:cs="Calibri"/>
            <w:sz w:val="20"/>
            <w:szCs w:val="20"/>
          </w:rPr>
          <w:t>https://wmpllc-</w:t>
        </w:r>
      </w:hyperlink>
      <w:r w:rsidRPr="0001504E">
        <w:rPr>
          <w:rFonts w:ascii="Calibri" w:eastAsia="Aptos" w:hAnsi="Calibri" w:cs="Calibri"/>
          <w:sz w:val="20"/>
          <w:szCs w:val="20"/>
          <w:u w:val="single"/>
        </w:rPr>
        <w:t>org.pitt.idm.oclc.org/ojs/index.php/jom/article/view/3641</w:t>
      </w:r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4EA037AA" w14:textId="30C817E2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proofErr w:type="spellStart"/>
      <w:r w:rsidRPr="0001504E">
        <w:rPr>
          <w:rFonts w:ascii="Calibri" w:eastAsia="Aptos" w:hAnsi="Calibri" w:cs="Calibri"/>
          <w:sz w:val="20"/>
          <w:szCs w:val="20"/>
        </w:rPr>
        <w:t>Bradywood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A., Watters, R., &amp; Blackmore, C. (2021). Implementing screening for social determinants of health using the Core 5 screening tool.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BMJ Open Quality,</w:t>
      </w:r>
      <w:r w:rsidRPr="0001504E">
        <w:rPr>
          <w:rFonts w:ascii="Calibri" w:eastAsia="Aptos" w:hAnsi="Calibri" w:cs="Calibri"/>
          <w:sz w:val="20"/>
          <w:szCs w:val="20"/>
        </w:rPr>
        <w:t xml:space="preserve">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10</w:t>
      </w:r>
      <w:r w:rsidRPr="0001504E">
        <w:rPr>
          <w:rFonts w:ascii="Calibri" w:eastAsia="Aptos" w:hAnsi="Calibri" w:cs="Calibri"/>
          <w:sz w:val="20"/>
          <w:szCs w:val="20"/>
        </w:rPr>
        <w:t>(3).</w:t>
      </w:r>
      <w:hyperlink r:id="rId13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https://doi.org/10.1136/bmjoq-2021-001362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197419BD" w14:textId="651B3EF3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color w:val="467886"/>
          <w:sz w:val="20"/>
          <w:szCs w:val="20"/>
          <w:u w:val="single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Brown, C. H., Bennett, M. E., Li, L., &amp; Bellack, A. S. (2011). Predictors of initiation and engagement in substance abuse treatment among individuals with co-occurring serious mental illness and substance use disorders.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Addictive Behaviors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36</w:t>
      </w:r>
      <w:r w:rsidRPr="0001504E">
        <w:rPr>
          <w:rFonts w:ascii="Calibri" w:eastAsia="Aptos" w:hAnsi="Calibri" w:cs="Calibri"/>
          <w:sz w:val="20"/>
          <w:szCs w:val="20"/>
        </w:rPr>
        <w:t xml:space="preserve">(5), 439–447. </w:t>
      </w:r>
      <w:hyperlink r:id="rId14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https://doi.org/10.1016/j.addbeh.2010.12.001</w:t>
        </w:r>
      </w:hyperlink>
    </w:p>
    <w:p w14:paraId="7F629AE9" w14:textId="19BD24BB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>Brown, V. B., Harris, M., &amp; Fallot, R. (2013). Moving toward trauma-informed practice in addiction treatment: a collaborative model of agency assessment. 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Journal of psychoactive drugs</w:t>
      </w:r>
      <w:r w:rsidRPr="0001504E">
        <w:rPr>
          <w:rFonts w:ascii="Calibri" w:eastAsia="Aptos" w:hAnsi="Calibri" w:cs="Calibri"/>
          <w:sz w:val="20"/>
          <w:szCs w:val="20"/>
        </w:rPr>
        <w:t>, 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45</w:t>
      </w:r>
      <w:r w:rsidRPr="0001504E">
        <w:rPr>
          <w:rFonts w:ascii="Calibri" w:eastAsia="Aptos" w:hAnsi="Calibri" w:cs="Calibri"/>
          <w:sz w:val="20"/>
          <w:szCs w:val="20"/>
        </w:rPr>
        <w:t xml:space="preserve">(5), 386–393. </w:t>
      </w:r>
      <w:hyperlink r:id="rId15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https://doi.org/10.1080/02791072.2013.844381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0F753D72" w14:textId="242D7EE5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Burns, M., Tang, L., Chang, C. H., Kim, J. Y., Ahrens, K., Allen, L., Cunningham, P., Gordon, A. J.,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Jarlenski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M. P., Lanier, P., Mauk, R., McDuffie, M. J., Mohamoud, S., Talbert, J.,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Zivin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>, K., &amp; Donohue, J. (2022). Duration of medication treatment for opioid-use disorder and risk of overdose among</w:t>
      </w:r>
      <w:r w:rsidR="00B74B9E" w:rsidRPr="0001504E">
        <w:rPr>
          <w:rFonts w:ascii="Calibri" w:hAnsi="Calibri" w:cs="Calibri"/>
          <w:sz w:val="20"/>
          <w:szCs w:val="20"/>
        </w:rPr>
        <w:tab/>
      </w:r>
      <w:r w:rsidRPr="0001504E">
        <w:rPr>
          <w:rFonts w:ascii="Calibri" w:eastAsia="Aptos" w:hAnsi="Calibri" w:cs="Calibri"/>
          <w:sz w:val="20"/>
          <w:szCs w:val="20"/>
        </w:rPr>
        <w:t xml:space="preserve"> Medicaid enrollees in 11 states: a retrospective cohort study.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Addiction (Abingdon,</w:t>
      </w:r>
      <w:r w:rsidRPr="0001504E">
        <w:rPr>
          <w:rFonts w:ascii="Calibri" w:eastAsia="Aptos" w:hAnsi="Calibri" w:cs="Calibri"/>
          <w:sz w:val="20"/>
          <w:szCs w:val="20"/>
        </w:rPr>
        <w:t xml:space="preserve">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England)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117</w:t>
      </w:r>
      <w:r w:rsidRPr="0001504E">
        <w:rPr>
          <w:rFonts w:ascii="Calibri" w:eastAsia="Aptos" w:hAnsi="Calibri" w:cs="Calibri"/>
          <w:sz w:val="20"/>
          <w:szCs w:val="20"/>
        </w:rPr>
        <w:t xml:space="preserve">(12), 3079–3088. </w:t>
      </w:r>
      <w:hyperlink r:id="rId16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https://doi.org/10.1111/add.15959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 </w:t>
      </w:r>
    </w:p>
    <w:p w14:paraId="7901549A" w14:textId="0C0E0910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Cavazos-Rehg, P., Xu, C., Krauss, M. J., Min, C., Winograd, R., Grucza, R., &amp; Bierut, L. J. (2021). Understanding barriers to treatment among individuals not engaged in treatment who misuse opioids: A structural equation modeling approach.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Substance Abuse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42</w:t>
      </w:r>
      <w:r w:rsidRPr="0001504E">
        <w:rPr>
          <w:rFonts w:ascii="Calibri" w:eastAsia="Aptos" w:hAnsi="Calibri" w:cs="Calibri"/>
          <w:sz w:val="20"/>
          <w:szCs w:val="20"/>
        </w:rPr>
        <w:t xml:space="preserve">(4), 842–850. </w:t>
      </w:r>
      <w:hyperlink r:id="rId17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https://doi.org/10.1080/08897077.2021.1876199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6DB6C57E" w14:textId="781B0C05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Dobkin, P. L., Civita, M. D.,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Paraherakis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A., &amp; Gill, K. (2002). The role of functional social support in treatment retention and outcomes among outpatient adult substance abusers.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Addiction, 97</w:t>
      </w:r>
      <w:r w:rsidRPr="0001504E">
        <w:rPr>
          <w:rFonts w:ascii="Calibri" w:eastAsia="Aptos" w:hAnsi="Calibri" w:cs="Calibri"/>
          <w:sz w:val="20"/>
          <w:szCs w:val="20"/>
        </w:rPr>
        <w:t xml:space="preserve">(3), 347–356. </w:t>
      </w:r>
      <w:hyperlink r:id="rId18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https://doi.org/10.1046/j.1360-0443.2002.00083.x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131159E0" w14:textId="0E8ACBED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Hutchison, M., Russell, B. S., Leander, A., Rickles, N., Aguiar, D., Cong, X. S., Harel, O., &amp; Hernandez, A. V.(2023). Trends and Barriers of Medication Treatment for Opioid Use Disorders: A Systematic Review and Meta-Analysis.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 xml:space="preserve">Journal of Drug </w:t>
      </w:r>
      <w:proofErr w:type="spellStart"/>
      <w:r w:rsidRPr="0001504E">
        <w:rPr>
          <w:rFonts w:ascii="Calibri" w:eastAsia="Aptos" w:hAnsi="Calibri" w:cs="Calibri"/>
          <w:i/>
          <w:iCs/>
          <w:sz w:val="20"/>
          <w:szCs w:val="20"/>
        </w:rPr>
        <w:t>Issues</w:t>
      </w:r>
      <w:r w:rsidRPr="0001504E">
        <w:rPr>
          <w:rFonts w:ascii="Calibri" w:eastAsia="Aptos" w:hAnsi="Calibri" w:cs="Calibri"/>
          <w:sz w:val="20"/>
          <w:szCs w:val="20"/>
        </w:rPr>
        <w:t>.</w:t>
      </w:r>
      <w:hyperlink r:id="rId19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</w:t>
        </w:r>
        <w:proofErr w:type="spellEnd"/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://doi.org/10.1177/00220426231204841</w:t>
        </w:r>
      </w:hyperlink>
      <w:r w:rsidR="00B74B9E" w:rsidRPr="0001504E">
        <w:rPr>
          <w:rFonts w:ascii="Calibri" w:hAnsi="Calibri" w:cs="Calibri"/>
          <w:sz w:val="20"/>
          <w:szCs w:val="20"/>
        </w:rPr>
        <w:tab/>
      </w:r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0ABC8544" w14:textId="456E553D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>Jalali, M. S., Botticelli, M., Hwang, R. C., Koh, H. K., &amp; McHugh, R. K. (2020). The opioid crisis: A contextual, social-ecological framework. Health Research Policy and Systems, 18.</w:t>
      </w:r>
      <w:hyperlink r:id="rId20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https://doi.org/10.1186/s12961-020-00596-8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469323A6" w14:textId="4A7B191F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lastRenderedPageBreak/>
        <w:t xml:space="preserve">Joe, G. W., Simpson, D. D., Greener, J. M., &amp; Rowan-Szal, G. A. (1999). Integrative modeling of client engagement and outcomes during the first 6 months of methadone treatment.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Addictive</w:t>
      </w:r>
      <w:r w:rsidRPr="0001504E">
        <w:rPr>
          <w:rFonts w:ascii="Calibri" w:eastAsia="Aptos" w:hAnsi="Calibri" w:cs="Calibri"/>
          <w:sz w:val="20"/>
          <w:szCs w:val="20"/>
        </w:rPr>
        <w:t xml:space="preserve">           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Behaviors, 24</w:t>
      </w:r>
      <w:r w:rsidRPr="0001504E">
        <w:rPr>
          <w:rFonts w:ascii="Calibri" w:eastAsia="Aptos" w:hAnsi="Calibri" w:cs="Calibri"/>
          <w:sz w:val="20"/>
          <w:szCs w:val="20"/>
        </w:rPr>
        <w:t xml:space="preserve">(5), 649–659. </w:t>
      </w:r>
      <w:hyperlink r:id="rId21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https://doi.org/10.1016/s0306-4603(99)00024-6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42365694" w14:textId="081F0B61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Kleinman, M. B., Anvari, M. S., Seitz-Brown, C. J., Bradley, V. D.,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Tralka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H., Felton, J. W., Belcher, A. M., Greenblatt, A. D., &amp; Magidson, J. F. (2023). Psychosocial challenges affecting patient-defined medication for opioid use disorder treatment outcomes in a low-income, underserved population: Application of the social-ecological framework.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Journal of Substance Use and</w:t>
      </w:r>
      <w:r w:rsidR="00B74B9E" w:rsidRPr="0001504E">
        <w:rPr>
          <w:rFonts w:ascii="Calibri" w:hAnsi="Calibri" w:cs="Calibri"/>
          <w:sz w:val="20"/>
          <w:szCs w:val="20"/>
        </w:rPr>
        <w:tab/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 xml:space="preserve"> Addiction Treatment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149</w:t>
      </w:r>
      <w:r w:rsidRPr="0001504E">
        <w:rPr>
          <w:rFonts w:ascii="Calibri" w:eastAsia="Aptos" w:hAnsi="Calibri" w:cs="Calibri"/>
          <w:sz w:val="20"/>
          <w:szCs w:val="20"/>
        </w:rPr>
        <w:t>, 209046-.</w:t>
      </w:r>
      <w:hyperlink r:id="rId22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https://doi.org/10.1016/j.josat.2023.209046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0C53E0DE" w14:textId="0E403DD6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Kosten, T. R., Rounsaville, B. J., &amp; Kleber, H. D. (1986). A 2.5-year follow-up of depression, life crises, and treatment effects on abstinence among opioid addicts.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Archives of General Psychiatry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43</w:t>
      </w:r>
      <w:r w:rsidRPr="0001504E">
        <w:rPr>
          <w:rFonts w:ascii="Calibri" w:eastAsia="Aptos" w:hAnsi="Calibri" w:cs="Calibri"/>
          <w:sz w:val="20"/>
          <w:szCs w:val="20"/>
        </w:rPr>
        <w:t xml:space="preserve">(8), 733–738. </w:t>
      </w:r>
      <w:hyperlink r:id="rId23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https://doi.org/10.1001/archpsyc.1986.01800080019003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6DBD5C8F" w14:textId="01EEE21D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Krawczyk, N., Williams, A. R., Saloner, B., &amp;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Cerdá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M. (2021). Who stays in medication treatment for opioid use disorder? A national study of outpatient specialty treatment settings. Journal of Substance Abuse Treatment, 126, 108329–108329.https://doi.org/10.1016/j.jsat.2021.108329 </w:t>
      </w:r>
    </w:p>
    <w:p w14:paraId="6935C1CF" w14:textId="54E3C71F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>Narayan M. C. (2003). Cultural assessment and care planning. 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Home Healthcare Nurse</w:t>
      </w:r>
      <w:r w:rsidRPr="0001504E">
        <w:rPr>
          <w:rFonts w:ascii="Calibri" w:eastAsia="Aptos" w:hAnsi="Calibri" w:cs="Calibri"/>
          <w:sz w:val="20"/>
          <w:szCs w:val="20"/>
        </w:rPr>
        <w:t>, 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21</w:t>
      </w:r>
      <w:r w:rsidRPr="0001504E">
        <w:rPr>
          <w:rFonts w:ascii="Calibri" w:eastAsia="Aptos" w:hAnsi="Calibri" w:cs="Calibri"/>
          <w:sz w:val="20"/>
          <w:szCs w:val="20"/>
        </w:rPr>
        <w:t xml:space="preserve">(9), 611–620. </w:t>
      </w:r>
      <w:hyperlink r:id="rId24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https://doi.org/10.1097/00004045-200309000-00011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1900E8B7" w14:textId="40796361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National Institutes of Health. (2024). The Zero Suicide Model: Suicide prevention in primary care. NIH HEAL Initiative. </w:t>
      </w:r>
      <w:hyperlink r:id="rId25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https://heal.nih.gov/news/stories/suicide-</w:t>
        </w:r>
      </w:hyperlink>
      <w:r w:rsidRPr="0001504E">
        <w:rPr>
          <w:rFonts w:ascii="Calibri" w:eastAsia="Aptos" w:hAnsi="Calibri" w:cs="Calibri"/>
          <w:sz w:val="20"/>
          <w:szCs w:val="20"/>
          <w:u w:val="single"/>
        </w:rPr>
        <w:t>prevention-primary-care</w:t>
      </w:r>
      <w:r w:rsidRPr="0001504E">
        <w:rPr>
          <w:rFonts w:ascii="Calibri" w:eastAsia="Aptos" w:hAnsi="Calibri" w:cs="Calibri"/>
          <w:sz w:val="20"/>
          <w:szCs w:val="20"/>
        </w:rPr>
        <w:t xml:space="preserve">    </w:t>
      </w:r>
    </w:p>
    <w:p w14:paraId="75AF2082" w14:textId="05991C7F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color w:val="467886"/>
          <w:sz w:val="20"/>
          <w:szCs w:val="20"/>
          <w:u w:val="single"/>
        </w:rPr>
      </w:pPr>
      <w:proofErr w:type="spellStart"/>
      <w:r w:rsidRPr="0001504E">
        <w:rPr>
          <w:rFonts w:ascii="Calibri" w:eastAsia="Aptos" w:hAnsi="Calibri" w:cs="Calibri"/>
          <w:sz w:val="20"/>
          <w:szCs w:val="20"/>
        </w:rPr>
        <w:t>Nestadt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P.S., &amp; Bohnert, A.S. (2020). Clinical Perspective on Opioids in the Context of Suicide Risk.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Focus, 18 2</w:t>
      </w:r>
      <w:r w:rsidRPr="0001504E">
        <w:rPr>
          <w:rFonts w:ascii="Calibri" w:eastAsia="Aptos" w:hAnsi="Calibri" w:cs="Calibri"/>
          <w:sz w:val="20"/>
          <w:szCs w:val="20"/>
        </w:rPr>
        <w:t xml:space="preserve">, 100-105. </w:t>
      </w:r>
      <w:hyperlink r:id="rId26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https://pubmed.ncbi.nlm.nih.gov/33162847/</w:t>
        </w:r>
      </w:hyperlink>
    </w:p>
    <w:p w14:paraId="66F8222D" w14:textId="457D1CA2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Nguyen* CM, Kubiak* G, Dixit* N, Young SA, Hayes JR. (2024). Evaluating Barriers to Opioid Use Disorder        Treatment From Patients’ Perspectives.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PRiMER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. 2024;8:11. </w:t>
      </w:r>
      <w:hyperlink r:id="rId27">
        <w:r w:rsidRPr="0001504E">
          <w:rPr>
            <w:rStyle w:val="Hyperlink"/>
            <w:rFonts w:ascii="Calibri" w:eastAsia="Aptos" w:hAnsi="Calibri" w:cs="Calibri"/>
            <w:sz w:val="20"/>
            <w:szCs w:val="20"/>
          </w:rPr>
          <w:t>https://doi.org/10.22454/PRiMER.2024.458349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4CF64098" w14:textId="7437AAC5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Priest, K. C., Lovejoy, T. I., Englander, H., Shull, S., &amp; McCarty, D. (2020). Opioid agonist therapy during hospitalization within the Veterans Health Administration: a pragmatic retrospective cohort analysis.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Journal of General Internal Medicine, 35</w:t>
      </w:r>
      <w:r w:rsidRPr="0001504E">
        <w:rPr>
          <w:rFonts w:ascii="Calibri" w:eastAsia="Aptos" w:hAnsi="Calibri" w:cs="Calibri"/>
          <w:sz w:val="20"/>
          <w:szCs w:val="20"/>
        </w:rPr>
        <w:t>(8), 2365-2374.</w:t>
      </w:r>
      <w:hyperlink r:id="rId28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https://www.ncbi.nlm.nih.gov/pmc/articles/PMC7403377/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5AFE8661" w14:textId="1A27BBC3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>Richmond, C.J., Jordan, S.A., Bischof, G.H., &amp; Sauer, E.M. (2014). Effects of solution-focused versus problem-focused intake questions on pre-treatment change. 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Journal of Systemic Therapies, 33</w:t>
      </w:r>
      <w:r w:rsidRPr="0001504E">
        <w:rPr>
          <w:rFonts w:ascii="Calibri" w:eastAsia="Aptos" w:hAnsi="Calibri" w:cs="Calibri"/>
          <w:sz w:val="20"/>
          <w:szCs w:val="20"/>
        </w:rPr>
        <w:t xml:space="preserve">, 33-47. </w:t>
      </w:r>
      <w:hyperlink r:id="rId29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https://doi.org/10.1521/jsyt.2014.33.1.33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785902B2" w14:textId="1C6A030B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Sanchez, K., Walker, R., Campbell, A.N., Greer, T.L., Hu, M., Grannemann, B.D., Nunes, E.V., &amp; Trivedi, M.H. (2015). Depressive symptoms and associated clinical characteristics in outpatients seeking community-based treatment for alcohol and drug problems.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Substance Abuse, 36</w:t>
      </w:r>
      <w:r w:rsidRPr="0001504E">
        <w:rPr>
          <w:rFonts w:ascii="Calibri" w:eastAsia="Aptos" w:hAnsi="Calibri" w:cs="Calibri"/>
          <w:sz w:val="20"/>
          <w:szCs w:val="20"/>
        </w:rPr>
        <w:t xml:space="preserve">, 297 - 303. </w:t>
      </w:r>
      <w:hyperlink r:id="rId30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https://doi.org/10.1080/08897077.2014.937845</w:t>
        </w:r>
      </w:hyperlink>
      <w:r w:rsidRPr="0001504E">
        <w:rPr>
          <w:rFonts w:ascii="Calibri" w:eastAsia="Aptos" w:hAnsi="Calibri" w:cs="Calibri"/>
          <w:sz w:val="20"/>
          <w:szCs w:val="20"/>
          <w:u w:val="single"/>
        </w:rPr>
        <w:t xml:space="preserve"> </w:t>
      </w:r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76899CEF" w14:textId="019C18C6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>Schmidt, E. M., Wright, D., Cherkasova, E., Harris, A. H. S., &amp; Trafton, J. (2022). Evaluating and Improving Engagement in Care After High-Intensity Stays for Mental or Substance Use Disorders.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 xml:space="preserve"> Psychiatric Services, 73</w:t>
      </w:r>
      <w:r w:rsidRPr="0001504E">
        <w:rPr>
          <w:rFonts w:ascii="Calibri" w:eastAsia="Aptos" w:hAnsi="Calibri" w:cs="Calibri"/>
          <w:sz w:val="20"/>
          <w:szCs w:val="20"/>
        </w:rPr>
        <w:t>(1), 18–25.</w:t>
      </w:r>
      <w:hyperlink r:id="rId31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https://doi.org/10.1176/appi.ps.202000287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    </w:t>
      </w:r>
    </w:p>
    <w:p w14:paraId="73987BDB" w14:textId="727F021C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Schweitzer, E. M.,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Urmanche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A., Kong, J., Hafezi, S., Zhao, J., Cooperman, N. A., &amp;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Konova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A. B. (2024).The Role of Social Connection in Opioid Use Disorder Treatment Engagement.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Psychology of</w:t>
      </w:r>
      <w:r w:rsidRPr="0001504E">
        <w:rPr>
          <w:rFonts w:ascii="Calibri" w:eastAsia="Aptos" w:hAnsi="Calibri" w:cs="Calibri"/>
          <w:sz w:val="20"/>
          <w:szCs w:val="20"/>
        </w:rPr>
        <w:t xml:space="preserve">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Addictive Behaviors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38</w:t>
      </w:r>
      <w:r w:rsidRPr="0001504E">
        <w:rPr>
          <w:rFonts w:ascii="Calibri" w:eastAsia="Aptos" w:hAnsi="Calibri" w:cs="Calibri"/>
          <w:sz w:val="20"/>
          <w:szCs w:val="20"/>
        </w:rPr>
        <w:t xml:space="preserve">(2), 222–230. </w:t>
      </w:r>
      <w:hyperlink r:id="rId32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https://doi.org/10.1037/adb0000934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0085179D" w14:textId="44C11E17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Simpson, S. , Hordes, M. , Blum, J. , Rinehart, D. &amp; Al-Tayyib, A. (2022). Barriers to Engagement in Opioid Use Disorder Treatment After Buprenorphine Induction. Journal of Addiction Medicine, 16 (4), 479-482.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doi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: 10.1097/ADM.0000000000000943. </w:t>
      </w:r>
    </w:p>
    <w:p w14:paraId="35C0B713" w14:textId="6ADAA015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>Sohl, S.J., Birdee, G.S., &amp; Elam, R. (2016). Complementary Tools to Empower and Sustain Behavior Change. 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American Journal of Lifestyle Medicine, 10</w:t>
      </w:r>
      <w:r w:rsidRPr="0001504E">
        <w:rPr>
          <w:rFonts w:ascii="Calibri" w:eastAsia="Aptos" w:hAnsi="Calibri" w:cs="Calibri"/>
          <w:sz w:val="20"/>
          <w:szCs w:val="20"/>
        </w:rPr>
        <w:t xml:space="preserve">, 429 - 436. </w:t>
      </w:r>
      <w:hyperlink r:id="rId33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https://pmc.ncbi.nlm.nih.gov/articles/PMC5319432/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18311E9F" w14:textId="0A7704DA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Stafford, C., Marrero, W. J., Naumann, R. B., Lich, K. H., Wakeman, S., &amp; Jalali, M. S. (2022). Identifying key risk factors for premature discontinuation of opioid use disorder treatment in the United States: A </w:t>
      </w:r>
      <w:r w:rsidRPr="0001504E">
        <w:rPr>
          <w:rFonts w:ascii="Calibri" w:eastAsia="Aptos" w:hAnsi="Calibri" w:cs="Calibri"/>
          <w:sz w:val="20"/>
          <w:szCs w:val="20"/>
        </w:rPr>
        <w:lastRenderedPageBreak/>
        <w:t xml:space="preserve">predictive modeling study.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Drug and Alcohol Dependence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237</w:t>
      </w:r>
      <w:r w:rsidRPr="0001504E">
        <w:rPr>
          <w:rFonts w:ascii="Calibri" w:eastAsia="Aptos" w:hAnsi="Calibri" w:cs="Calibri"/>
          <w:sz w:val="20"/>
          <w:szCs w:val="20"/>
        </w:rPr>
        <w:t xml:space="preserve">, 109507. </w:t>
      </w:r>
      <w:hyperlink r:id="rId34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https://doi.org/10.1016/j.drugalcdep.2022.109507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 </w:t>
      </w:r>
    </w:p>
    <w:p w14:paraId="2876BBB2" w14:textId="14ACD0BF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Substance Abuse and Mental Health Services Administration. (2013).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Managing depressive symptoms in</w:t>
      </w:r>
      <w:r w:rsidRPr="0001504E">
        <w:rPr>
          <w:rFonts w:ascii="Calibri" w:eastAsia="Aptos" w:hAnsi="Calibri" w:cs="Calibri"/>
          <w:sz w:val="20"/>
          <w:szCs w:val="20"/>
        </w:rPr>
        <w:t xml:space="preserve">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substance abuse clients during early recovery: Treatment Improvement Protocol (TIP) Series 48</w:t>
      </w:r>
      <w:r w:rsidRPr="0001504E">
        <w:rPr>
          <w:rFonts w:ascii="Calibri" w:eastAsia="Aptos" w:hAnsi="Calibri" w:cs="Calibri"/>
          <w:sz w:val="20"/>
          <w:szCs w:val="20"/>
        </w:rPr>
        <w:t>.HHS Publication No. (SMA) 13-4353. U.S. Department of Health and Human Services.</w:t>
      </w:r>
      <w:hyperlink r:id="rId35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https://store.samhsa.gov/sites/default/files/sma13-4353.pdf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16050A09" w14:textId="4CB46D3A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Substance Abuse and Mental Health Services Administration. (2015).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Comprehensive case management for substance abuse treatment: Treatment Improvement Protocol (TIP) Series 27</w:t>
      </w:r>
      <w:r w:rsidRPr="0001504E">
        <w:rPr>
          <w:rFonts w:ascii="Calibri" w:eastAsia="Aptos" w:hAnsi="Calibri" w:cs="Calibri"/>
          <w:sz w:val="20"/>
          <w:szCs w:val="20"/>
        </w:rPr>
        <w:t xml:space="preserve">. HHS Publication No. (SMA) 15-4215. U.S. Department of Health and Human Services. </w:t>
      </w:r>
      <w:hyperlink r:id="rId36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https://store.samhsa.gov/sites/default/files/sma15-4215.pdf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3165D16D" w14:textId="5ABCBB74" w:rsidR="00B74B9E" w:rsidRPr="0001504E" w:rsidRDefault="766B5D97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Van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Laere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S. (2023). “Nothing about us, without us”. Practical elaboration of experience experts in primary care.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International Journal of Integrated Care</w:t>
      </w:r>
      <w:r w:rsidRPr="0001504E">
        <w:rPr>
          <w:rFonts w:ascii="Calibri" w:eastAsia="Aptos" w:hAnsi="Calibri" w:cs="Calibri"/>
          <w:sz w:val="20"/>
          <w:szCs w:val="20"/>
        </w:rPr>
        <w:t xml:space="preserve">. </w:t>
      </w:r>
      <w:hyperlink r:id="rId37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https://ijic.org/articles/10.5334/ijic.ICIC23151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6D589D48" w14:textId="40DCC4F5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Vekaria, V., Bose, B., Murphy, S. M., Avery, J., Alexopoulos, G., &amp; Pathak, J. (2021). Association of co-occurring opioid or other substance use disorders with increased healthcare utilization in patients with depression.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Translational Psychiatry</w:t>
      </w:r>
      <w:r w:rsidRPr="0001504E">
        <w:rPr>
          <w:rFonts w:ascii="Calibri" w:eastAsia="Aptos" w:hAnsi="Calibri" w:cs="Calibri"/>
          <w:sz w:val="20"/>
          <w:szCs w:val="20"/>
        </w:rPr>
        <w:t xml:space="preserve">,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11</w:t>
      </w:r>
      <w:r w:rsidRPr="0001504E">
        <w:rPr>
          <w:rFonts w:ascii="Calibri" w:eastAsia="Aptos" w:hAnsi="Calibri" w:cs="Calibri"/>
          <w:sz w:val="20"/>
          <w:szCs w:val="20"/>
        </w:rPr>
        <w:t>.</w:t>
      </w:r>
      <w:hyperlink r:id="rId38">
        <w:r w:rsidRPr="0001504E">
          <w:rPr>
            <w:rStyle w:val="Hyperlink"/>
            <w:rFonts w:ascii="Calibri" w:eastAsia="Aptos" w:hAnsi="Calibri" w:cs="Calibri"/>
            <w:sz w:val="20"/>
            <w:szCs w:val="20"/>
          </w:rPr>
          <w:t>https://doi.org/10.1038/s41398-021</w:t>
        </w:r>
        <w:r w:rsidR="00B74B9E" w:rsidRPr="0001504E">
          <w:rPr>
            <w:rFonts w:ascii="Calibri" w:hAnsi="Calibri" w:cs="Calibri"/>
            <w:sz w:val="20"/>
            <w:szCs w:val="20"/>
          </w:rPr>
          <w:tab/>
        </w:r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-01372-0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5F6D673B" w14:textId="298B0EF9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Wakeman, S. E., McGovern, S., Kehoe, L., Kane, M. T., Powell, E. A., Casey, S. K., </w:t>
      </w:r>
      <w:proofErr w:type="spellStart"/>
      <w:r w:rsidRPr="0001504E">
        <w:rPr>
          <w:rFonts w:ascii="Calibri" w:eastAsia="Aptos" w:hAnsi="Calibri" w:cs="Calibri"/>
          <w:sz w:val="20"/>
          <w:szCs w:val="20"/>
        </w:rPr>
        <w:t>Yacorps</w:t>
      </w:r>
      <w:proofErr w:type="spellEnd"/>
      <w:r w:rsidRPr="0001504E">
        <w:rPr>
          <w:rFonts w:ascii="Calibri" w:eastAsia="Aptos" w:hAnsi="Calibri" w:cs="Calibri"/>
          <w:sz w:val="20"/>
          <w:szCs w:val="20"/>
        </w:rPr>
        <w:t xml:space="preserve">, G. M., Irvin, J. R., Rodriguez, W., &amp; Regan, S. (2022). Predictors of engagement and retention in care at a low-threshold substance use disorder bridge clinic. </w:t>
      </w:r>
      <w:r w:rsidRPr="0001504E">
        <w:rPr>
          <w:rFonts w:ascii="Calibri" w:eastAsia="Aptos" w:hAnsi="Calibri" w:cs="Calibri"/>
          <w:i/>
          <w:iCs/>
          <w:sz w:val="20"/>
          <w:szCs w:val="20"/>
        </w:rPr>
        <w:t>Journal of Substance Abuse Treatment, 141</w:t>
      </w:r>
      <w:r w:rsidRPr="0001504E">
        <w:rPr>
          <w:rFonts w:ascii="Calibri" w:eastAsia="Aptos" w:hAnsi="Calibri" w:cs="Calibri"/>
          <w:sz w:val="20"/>
          <w:szCs w:val="20"/>
        </w:rPr>
        <w:t xml:space="preserve">, 108848. </w:t>
      </w:r>
      <w:hyperlink r:id="rId39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</w:rPr>
          <w:t>https://doi.org/10.1016/j.jsat.2022.108848</w:t>
        </w:r>
      </w:hyperlink>
      <w:r w:rsidRPr="0001504E">
        <w:rPr>
          <w:rFonts w:ascii="Calibri" w:eastAsia="Aptos" w:hAnsi="Calibri" w:cs="Calibri"/>
          <w:sz w:val="20"/>
          <w:szCs w:val="20"/>
        </w:rPr>
        <w:t xml:space="preserve"> </w:t>
      </w:r>
    </w:p>
    <w:p w14:paraId="47F7C186" w14:textId="44B6288E" w:rsidR="00B74B9E" w:rsidRPr="0001504E" w:rsidRDefault="766B5D97">
      <w:pPr>
        <w:pStyle w:val="ListParagraph"/>
        <w:numPr>
          <w:ilvl w:val="0"/>
          <w:numId w:val="1"/>
        </w:numPr>
        <w:spacing w:after="0"/>
        <w:rPr>
          <w:rFonts w:ascii="Calibri" w:eastAsia="Aptos" w:hAnsi="Calibri" w:cs="Calibri"/>
          <w:sz w:val="20"/>
          <w:szCs w:val="20"/>
          <w:lang w:val="pt-BR"/>
        </w:rPr>
      </w:pPr>
      <w:r w:rsidRPr="0001504E">
        <w:rPr>
          <w:rFonts w:ascii="Calibri" w:eastAsia="Aptos" w:hAnsi="Calibri" w:cs="Calibri"/>
          <w:sz w:val="20"/>
          <w:szCs w:val="20"/>
        </w:rPr>
        <w:t xml:space="preserve">Webster, L.R. (2017). Risk Factors for Opioid-Use Disorder and Overdose. </w:t>
      </w:r>
      <w:r w:rsidRPr="0001504E">
        <w:rPr>
          <w:rFonts w:ascii="Calibri" w:eastAsia="Aptos" w:hAnsi="Calibri" w:cs="Calibri"/>
          <w:i/>
          <w:iCs/>
          <w:sz w:val="20"/>
          <w:szCs w:val="20"/>
          <w:lang w:val="pt-BR"/>
        </w:rPr>
        <w:t>Anesthesia &amp; Analgesia</w:t>
      </w:r>
      <w:r w:rsidRPr="0001504E">
        <w:rPr>
          <w:rFonts w:ascii="Calibri" w:eastAsia="Aptos" w:hAnsi="Calibri" w:cs="Calibri"/>
          <w:sz w:val="20"/>
          <w:szCs w:val="20"/>
          <w:lang w:val="pt-BR"/>
        </w:rPr>
        <w:t xml:space="preserve">. </w:t>
      </w:r>
      <w:hyperlink r:id="rId40">
        <w:r w:rsidRPr="0001504E">
          <w:rPr>
            <w:rStyle w:val="Hyperlink"/>
            <w:rFonts w:ascii="Calibri" w:eastAsia="Aptos" w:hAnsi="Calibri" w:cs="Calibri"/>
            <w:color w:val="467886"/>
            <w:sz w:val="20"/>
            <w:szCs w:val="20"/>
            <w:lang w:val="pt-BR"/>
          </w:rPr>
          <w:t>https://journals.lww.com/anesthesia-</w:t>
        </w:r>
      </w:hyperlink>
      <w:r w:rsidRPr="0001504E">
        <w:rPr>
          <w:rFonts w:ascii="Calibri" w:eastAsia="Aptos" w:hAnsi="Calibri" w:cs="Calibri"/>
          <w:sz w:val="20"/>
          <w:szCs w:val="20"/>
          <w:u w:val="single"/>
          <w:lang w:val="pt-BR"/>
        </w:rPr>
        <w:t>analgesia/fulltext/2017/11000/risk_factors_for_opioid_use_disorder_and_overdose.41.aspx</w:t>
      </w:r>
    </w:p>
    <w:p w14:paraId="1EF96732" w14:textId="5A66683C" w:rsidR="00B74B9E" w:rsidRPr="0001504E" w:rsidRDefault="00B74B9E" w:rsidP="5E83B4BB">
      <w:pPr>
        <w:pStyle w:val="ListParagraph"/>
        <w:rPr>
          <w:rFonts w:ascii="Calibri" w:eastAsiaTheme="minorEastAsia" w:hAnsi="Calibri" w:cs="Calibri"/>
          <w:sz w:val="20"/>
          <w:szCs w:val="20"/>
          <w:lang w:val="pt-BR"/>
        </w:rPr>
      </w:pPr>
    </w:p>
    <w:sectPr w:rsidR="00B74B9E" w:rsidRPr="0001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35"/>
    <w:multiLevelType w:val="hybridMultilevel"/>
    <w:tmpl w:val="84DC765A"/>
    <w:lvl w:ilvl="0" w:tplc="F162F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A1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09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01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85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E7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E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A5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21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A280E9F"/>
    <w:multiLevelType w:val="hybridMultilevel"/>
    <w:tmpl w:val="199A6C4C"/>
    <w:lvl w:ilvl="0" w:tplc="03D8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A2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E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87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EA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E4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5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65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8F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624795">
    <w:abstractNumId w:val="2"/>
  </w:num>
  <w:num w:numId="2" w16cid:durableId="1604535445">
    <w:abstractNumId w:val="0"/>
  </w:num>
  <w:num w:numId="3" w16cid:durableId="18585393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1504E"/>
    <w:rsid w:val="000160B8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3489"/>
    <w:rsid w:val="000C4F5D"/>
    <w:rsid w:val="000C72A1"/>
    <w:rsid w:val="000D0550"/>
    <w:rsid w:val="000D072F"/>
    <w:rsid w:val="000D73CC"/>
    <w:rsid w:val="000F0A2E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2131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653A5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33F1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6754F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57310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20BC"/>
    <w:rsid w:val="007D3281"/>
    <w:rsid w:val="007D47F7"/>
    <w:rsid w:val="007D7E3D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153"/>
    <w:rsid w:val="0085279B"/>
    <w:rsid w:val="008533E4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363A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AA0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25C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16D9"/>
    <w:rsid w:val="00CB5978"/>
    <w:rsid w:val="00CB6EEB"/>
    <w:rsid w:val="00CC6C2C"/>
    <w:rsid w:val="00CD0483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0BB6"/>
    <w:rsid w:val="00DE1731"/>
    <w:rsid w:val="00DE3A5E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32938EC"/>
    <w:rsid w:val="0359EE64"/>
    <w:rsid w:val="038760C6"/>
    <w:rsid w:val="038D1F75"/>
    <w:rsid w:val="03A6789B"/>
    <w:rsid w:val="0427FC35"/>
    <w:rsid w:val="0458D8D2"/>
    <w:rsid w:val="047787AB"/>
    <w:rsid w:val="0495E937"/>
    <w:rsid w:val="04B64773"/>
    <w:rsid w:val="0682E37C"/>
    <w:rsid w:val="06977F9B"/>
    <w:rsid w:val="0708EB1D"/>
    <w:rsid w:val="0721A78F"/>
    <w:rsid w:val="07258104"/>
    <w:rsid w:val="072EF7DE"/>
    <w:rsid w:val="072F038E"/>
    <w:rsid w:val="08986E24"/>
    <w:rsid w:val="0900B95A"/>
    <w:rsid w:val="090F1D5D"/>
    <w:rsid w:val="09F3B5D9"/>
    <w:rsid w:val="0A0262AC"/>
    <w:rsid w:val="0AE5417C"/>
    <w:rsid w:val="0AFB8869"/>
    <w:rsid w:val="0B0C13EA"/>
    <w:rsid w:val="0B24DCFF"/>
    <w:rsid w:val="0B28A4C1"/>
    <w:rsid w:val="0B35A97A"/>
    <w:rsid w:val="0BA0817F"/>
    <w:rsid w:val="0BFA0C78"/>
    <w:rsid w:val="0D60FBEB"/>
    <w:rsid w:val="0DAAC4EA"/>
    <w:rsid w:val="0ED2BE70"/>
    <w:rsid w:val="0F431990"/>
    <w:rsid w:val="10AC7C7E"/>
    <w:rsid w:val="10C1BCE7"/>
    <w:rsid w:val="11B9E36B"/>
    <w:rsid w:val="120413F8"/>
    <w:rsid w:val="1228B7C3"/>
    <w:rsid w:val="129C5B53"/>
    <w:rsid w:val="14427BC3"/>
    <w:rsid w:val="14748318"/>
    <w:rsid w:val="166BF629"/>
    <w:rsid w:val="171726E9"/>
    <w:rsid w:val="17AC23DA"/>
    <w:rsid w:val="17AEFFE0"/>
    <w:rsid w:val="18107EB0"/>
    <w:rsid w:val="18AB30C4"/>
    <w:rsid w:val="18E45DBE"/>
    <w:rsid w:val="19315CA6"/>
    <w:rsid w:val="19E8F602"/>
    <w:rsid w:val="1C7F94FD"/>
    <w:rsid w:val="1CB874BE"/>
    <w:rsid w:val="1D2E17AF"/>
    <w:rsid w:val="1D526A46"/>
    <w:rsid w:val="1D92EAC1"/>
    <w:rsid w:val="1DB4B423"/>
    <w:rsid w:val="1E1440CF"/>
    <w:rsid w:val="1E348DBB"/>
    <w:rsid w:val="1ED2A520"/>
    <w:rsid w:val="1EDD5AD0"/>
    <w:rsid w:val="1F09231E"/>
    <w:rsid w:val="1F56B4C4"/>
    <w:rsid w:val="1F840FCD"/>
    <w:rsid w:val="1FB735BF"/>
    <w:rsid w:val="20614F10"/>
    <w:rsid w:val="20C3889C"/>
    <w:rsid w:val="20CB41FF"/>
    <w:rsid w:val="2105F5FE"/>
    <w:rsid w:val="215B2ACD"/>
    <w:rsid w:val="21DB316C"/>
    <w:rsid w:val="2230C7B3"/>
    <w:rsid w:val="233771B6"/>
    <w:rsid w:val="23C89BDF"/>
    <w:rsid w:val="23C97117"/>
    <w:rsid w:val="249C4660"/>
    <w:rsid w:val="24D323F3"/>
    <w:rsid w:val="26140D7C"/>
    <w:rsid w:val="2654DE10"/>
    <w:rsid w:val="26BEDFB9"/>
    <w:rsid w:val="27013A12"/>
    <w:rsid w:val="27174945"/>
    <w:rsid w:val="2748F495"/>
    <w:rsid w:val="277A123C"/>
    <w:rsid w:val="2783789F"/>
    <w:rsid w:val="289FC555"/>
    <w:rsid w:val="2944694B"/>
    <w:rsid w:val="298B3514"/>
    <w:rsid w:val="29971F25"/>
    <w:rsid w:val="29DABA36"/>
    <w:rsid w:val="2A21D0B0"/>
    <w:rsid w:val="2A912016"/>
    <w:rsid w:val="2B370A71"/>
    <w:rsid w:val="2B3C3DDF"/>
    <w:rsid w:val="2B7EACF2"/>
    <w:rsid w:val="2BD4AB35"/>
    <w:rsid w:val="2CFE8924"/>
    <w:rsid w:val="2D3E8F2C"/>
    <w:rsid w:val="2E61487E"/>
    <w:rsid w:val="2F254C1B"/>
    <w:rsid w:val="2F37546A"/>
    <w:rsid w:val="2F46951D"/>
    <w:rsid w:val="2FA3BD1B"/>
    <w:rsid w:val="2FF7FAF2"/>
    <w:rsid w:val="301285C5"/>
    <w:rsid w:val="31F5785D"/>
    <w:rsid w:val="3276E581"/>
    <w:rsid w:val="32E69711"/>
    <w:rsid w:val="33C694BD"/>
    <w:rsid w:val="33F8BD3E"/>
    <w:rsid w:val="33FB9944"/>
    <w:rsid w:val="34ACAF9A"/>
    <w:rsid w:val="34BED915"/>
    <w:rsid w:val="35303AB7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9506C8"/>
    <w:rsid w:val="39F35BAD"/>
    <w:rsid w:val="3A7631F8"/>
    <w:rsid w:val="3A9D4219"/>
    <w:rsid w:val="3BB6D307"/>
    <w:rsid w:val="3CA5E29C"/>
    <w:rsid w:val="3D35D905"/>
    <w:rsid w:val="3DB9F4B2"/>
    <w:rsid w:val="3E6139F6"/>
    <w:rsid w:val="3F09AC0B"/>
    <w:rsid w:val="3FD3AB01"/>
    <w:rsid w:val="4018E681"/>
    <w:rsid w:val="40680D0A"/>
    <w:rsid w:val="40AF50C4"/>
    <w:rsid w:val="4231C4F0"/>
    <w:rsid w:val="42784E04"/>
    <w:rsid w:val="434B1B87"/>
    <w:rsid w:val="4389D4E6"/>
    <w:rsid w:val="43A9A695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BAC14BF"/>
    <w:rsid w:val="4C2C2F52"/>
    <w:rsid w:val="4D4B3429"/>
    <w:rsid w:val="4D9D63E8"/>
    <w:rsid w:val="4E9339EA"/>
    <w:rsid w:val="4E9C5B59"/>
    <w:rsid w:val="4F92BA46"/>
    <w:rsid w:val="504313B7"/>
    <w:rsid w:val="5066219B"/>
    <w:rsid w:val="51A501A0"/>
    <w:rsid w:val="51B5158C"/>
    <w:rsid w:val="52476E39"/>
    <w:rsid w:val="525F5E1D"/>
    <w:rsid w:val="533C3DDC"/>
    <w:rsid w:val="5434476B"/>
    <w:rsid w:val="54906C2C"/>
    <w:rsid w:val="56C196DF"/>
    <w:rsid w:val="57B919AE"/>
    <w:rsid w:val="57F4105D"/>
    <w:rsid w:val="58669B8C"/>
    <w:rsid w:val="5AFFADB0"/>
    <w:rsid w:val="5B44A5F1"/>
    <w:rsid w:val="5B6FDCF0"/>
    <w:rsid w:val="5BFE8EF4"/>
    <w:rsid w:val="5C4C5788"/>
    <w:rsid w:val="5C991CF3"/>
    <w:rsid w:val="5CB3E97B"/>
    <w:rsid w:val="5CE07652"/>
    <w:rsid w:val="5CF18112"/>
    <w:rsid w:val="5CF97676"/>
    <w:rsid w:val="5D19BFC3"/>
    <w:rsid w:val="5DDA977D"/>
    <w:rsid w:val="5E83B4BB"/>
    <w:rsid w:val="5F322F64"/>
    <w:rsid w:val="5F713596"/>
    <w:rsid w:val="611317FC"/>
    <w:rsid w:val="619860E1"/>
    <w:rsid w:val="6227723D"/>
    <w:rsid w:val="626F6218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5FE5E25"/>
    <w:rsid w:val="6602D057"/>
    <w:rsid w:val="665566A1"/>
    <w:rsid w:val="674A1340"/>
    <w:rsid w:val="682328F9"/>
    <w:rsid w:val="68E4FF82"/>
    <w:rsid w:val="69045AD0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564B84"/>
    <w:rsid w:val="6CAFC55C"/>
    <w:rsid w:val="6CE0F687"/>
    <w:rsid w:val="6CF69A1C"/>
    <w:rsid w:val="6D710700"/>
    <w:rsid w:val="6D90CCA9"/>
    <w:rsid w:val="6E0E163F"/>
    <w:rsid w:val="6F544106"/>
    <w:rsid w:val="700F5599"/>
    <w:rsid w:val="701EC574"/>
    <w:rsid w:val="706F71D5"/>
    <w:rsid w:val="70CF0851"/>
    <w:rsid w:val="70D4612E"/>
    <w:rsid w:val="70FA2901"/>
    <w:rsid w:val="7117B366"/>
    <w:rsid w:val="71E30B63"/>
    <w:rsid w:val="72F9714A"/>
    <w:rsid w:val="7363BE46"/>
    <w:rsid w:val="736DA0ED"/>
    <w:rsid w:val="74488193"/>
    <w:rsid w:val="74973265"/>
    <w:rsid w:val="74A39617"/>
    <w:rsid w:val="750183C8"/>
    <w:rsid w:val="75592DEA"/>
    <w:rsid w:val="75887E15"/>
    <w:rsid w:val="764FB9DC"/>
    <w:rsid w:val="766B5D97"/>
    <w:rsid w:val="76E9661C"/>
    <w:rsid w:val="77594A32"/>
    <w:rsid w:val="77FB619B"/>
    <w:rsid w:val="78411210"/>
    <w:rsid w:val="785315DE"/>
    <w:rsid w:val="787A88A5"/>
    <w:rsid w:val="78AC86D9"/>
    <w:rsid w:val="78D9DED7"/>
    <w:rsid w:val="7ACB93E4"/>
    <w:rsid w:val="7B8C59ED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36/bmjoq-2021-001362" TargetMode="External"/><Relationship Id="rId18" Type="http://schemas.openxmlformats.org/officeDocument/2006/relationships/hyperlink" Target="https://doi.org/10.1046/j.1360-0443.2002.00083.x" TargetMode="External"/><Relationship Id="rId26" Type="http://schemas.openxmlformats.org/officeDocument/2006/relationships/hyperlink" Target="https://pubmed.ncbi.nlm.nih.gov/33162847/" TargetMode="External"/><Relationship Id="rId39" Type="http://schemas.openxmlformats.org/officeDocument/2006/relationships/hyperlink" Target="https://doi.org/10.1016/j.jsat.2022.108848" TargetMode="External"/><Relationship Id="rId21" Type="http://schemas.openxmlformats.org/officeDocument/2006/relationships/hyperlink" Target="https://doi.org/10.1016/s0306-4603(99)00024-6" TargetMode="External"/><Relationship Id="rId34" Type="http://schemas.openxmlformats.org/officeDocument/2006/relationships/hyperlink" Target="https://doi.org/10.1016/j.drugalcdep.2022.109507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add.15959" TargetMode="External"/><Relationship Id="rId20" Type="http://schemas.openxmlformats.org/officeDocument/2006/relationships/hyperlink" Target="https://doi.org/10.1186/s12961-020-00596-8" TargetMode="External"/><Relationship Id="rId29" Type="http://schemas.openxmlformats.org/officeDocument/2006/relationships/hyperlink" Target="https://doi.org/10.1521/jsyt.2014.33.1.3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16/j.drugalcdep.2016.04.036" TargetMode="External"/><Relationship Id="rId24" Type="http://schemas.openxmlformats.org/officeDocument/2006/relationships/hyperlink" Target="https://doi.org/10.1097/00004045-200309000-00011" TargetMode="External"/><Relationship Id="rId32" Type="http://schemas.openxmlformats.org/officeDocument/2006/relationships/hyperlink" Target="https://doi.org/10.1037/adb0000934" TargetMode="External"/><Relationship Id="rId37" Type="http://schemas.openxmlformats.org/officeDocument/2006/relationships/hyperlink" Target="https://ijic.org/articles/10.5334/ijic.ICIC23151" TargetMode="External"/><Relationship Id="rId40" Type="http://schemas.openxmlformats.org/officeDocument/2006/relationships/hyperlink" Target="https://journals.lww.com/anesthesia-analgesia/fulltext/2017/11000/risk_factors_for_opioid_use_disorder_and_overdose.41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80/02791072.2013.844381" TargetMode="External"/><Relationship Id="rId23" Type="http://schemas.openxmlformats.org/officeDocument/2006/relationships/hyperlink" Target="https://doi.org/10.1001/archpsyc.1986.01800080019003" TargetMode="External"/><Relationship Id="rId28" Type="http://schemas.openxmlformats.org/officeDocument/2006/relationships/hyperlink" Target="https://www.ncbi.nlm.nih.gov/pmc/articles/PMC7403377/" TargetMode="External"/><Relationship Id="rId36" Type="http://schemas.openxmlformats.org/officeDocument/2006/relationships/hyperlink" Target="https://store.samhsa.gov/sites/default/files/sma15-4215.pdf" TargetMode="External"/><Relationship Id="rId10" Type="http://schemas.openxmlformats.org/officeDocument/2006/relationships/hyperlink" Target="https://www.regent.edu/acad/global/publications/jpc/vol3iss2/JPC_V3Is2_Berg" TargetMode="External"/><Relationship Id="rId19" Type="http://schemas.openxmlformats.org/officeDocument/2006/relationships/hyperlink" Target="https://doi.org/10.1177/00220426231204841" TargetMode="External"/><Relationship Id="rId31" Type="http://schemas.openxmlformats.org/officeDocument/2006/relationships/hyperlink" Target="https://doi.org/10.1176/appi.ps.20200028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sycnet.apa.org/doi/10.1037/a0034564" TargetMode="External"/><Relationship Id="rId14" Type="http://schemas.openxmlformats.org/officeDocument/2006/relationships/hyperlink" Target="https://doi.org/10.1016/j.addbeh.2010.12.001" TargetMode="External"/><Relationship Id="rId22" Type="http://schemas.openxmlformats.org/officeDocument/2006/relationships/hyperlink" Target="https://doi.org/10.1016/j.josat.2023.209046" TargetMode="External"/><Relationship Id="rId27" Type="http://schemas.openxmlformats.org/officeDocument/2006/relationships/hyperlink" Target="https://doi.org/10.22454/PRiMER.2024.458349" TargetMode="External"/><Relationship Id="rId30" Type="http://schemas.openxmlformats.org/officeDocument/2006/relationships/hyperlink" Target="https://doi.org/10.1080/08897077.2014.937845" TargetMode="External"/><Relationship Id="rId35" Type="http://schemas.openxmlformats.org/officeDocument/2006/relationships/hyperlink" Target="https://store.samhsa.gov/sites/default/files/sma13-4353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mpllc-" TargetMode="External"/><Relationship Id="rId17" Type="http://schemas.openxmlformats.org/officeDocument/2006/relationships/hyperlink" Target="https://doi.org/10.1080/08897077.2021.1876199" TargetMode="External"/><Relationship Id="rId25" Type="http://schemas.openxmlformats.org/officeDocument/2006/relationships/hyperlink" Target="https://heal.nih.gov/news/stories/suicide-prevention-primary-care" TargetMode="External"/><Relationship Id="rId33" Type="http://schemas.openxmlformats.org/officeDocument/2006/relationships/hyperlink" Target="https://pmc.ncbi.nlm.nih.gov/articles/PMC5319432/" TargetMode="External"/><Relationship Id="rId38" Type="http://schemas.openxmlformats.org/officeDocument/2006/relationships/hyperlink" Target="https://doi.org/10.1038/s41398-021-01372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P2A3NJ5CMAVY-993345139-41110</_dlc_DocId>
    <_dlc_DocIdUrl xmlns="e2a3c3e7-7426-4151-8c50-1673f5abcf0a">
      <Url>https://pitt.sharepoint.com/sites/PERU.CHI/_layouts/15/DocIdRedir.aspx?ID=P2A3NJ5CMAVY-993345139-41110</Url>
      <Description>P2A3NJ5CMAVY-993345139-41110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3.xml><?xml version="1.0" encoding="utf-8"?>
<ds:datastoreItem xmlns:ds="http://schemas.openxmlformats.org/officeDocument/2006/customXml" ds:itemID="{6CD813B7-709F-40C4-904C-2281AB1D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1955</Words>
  <Characters>11148</Characters>
  <Application>Microsoft Office Word</Application>
  <DocSecurity>0</DocSecurity>
  <Lines>92</Lines>
  <Paragraphs>26</Paragraphs>
  <ScaleCrop>false</ScaleCrop>
  <Company>University of Pittsburgh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59</cp:revision>
  <dcterms:created xsi:type="dcterms:W3CDTF">2023-07-26T17:35:00Z</dcterms:created>
  <dcterms:modified xsi:type="dcterms:W3CDTF">2025-03-06T14:20:00Z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11b3c898-5247-4e51-919a-43964f580819</vt:lpwstr>
  </property>
</Properties>
</file>