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753A37A8"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FD5EF8">
        <w:rPr>
          <w:rFonts w:ascii="Times New Roman" w:hAnsi="Times New Roman"/>
          <w:b/>
          <w:color w:val="E36C0A" w:themeColor="accent6" w:themeShade="BF"/>
          <w:sz w:val="44"/>
          <w:szCs w:val="44"/>
        </w:rPr>
        <w:t>March 10-14, 2025</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 xml:space="preserve">Course Director:  </w:t>
      </w:r>
      <w:r w:rsidRPr="007B2C91">
        <w:rPr>
          <w:rFonts w:ascii="Times New Roman" w:hAnsi="Times New Roman"/>
          <w:b/>
          <w:bCs/>
          <w:color w:val="000000" w:themeColor="text1"/>
          <w:sz w:val="28"/>
          <w:szCs w:val="28"/>
        </w:rPr>
        <w:tab/>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 xml:space="preserve">Course Co-Directors:  </w:t>
      </w:r>
      <w:r w:rsidRPr="007B2C91">
        <w:rPr>
          <w:rFonts w:ascii="Times New Roman" w:hAnsi="Times New Roman"/>
          <w:b/>
          <w:bCs/>
          <w:color w:val="000000" w:themeColor="text1"/>
          <w:sz w:val="28"/>
          <w:szCs w:val="28"/>
        </w:rPr>
        <w:tab/>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 xml:space="preserve">Course Manager:  </w:t>
      </w:r>
      <w:r>
        <w:rPr>
          <w:rFonts w:ascii="Times New Roman" w:hAnsi="Times New Roman"/>
          <w:b/>
          <w:bCs/>
          <w:sz w:val="28"/>
          <w:szCs w:val="28"/>
        </w:rPr>
        <w:tab/>
      </w:r>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r w:rsidRPr="000B1BDB">
        <w:rPr>
          <w:rFonts w:ascii="Times New Roman" w:hAnsi="Times New Roman"/>
        </w:rPr>
        <w:tab/>
      </w:r>
      <w:r w:rsidRPr="000B1BDB">
        <w:rPr>
          <w:rFonts w:ascii="Times New Roman" w:hAnsi="Times New Roman"/>
        </w:rPr>
        <w:tab/>
        <w:t>Susan E. Lohman, RN, CNOR (SL)</w:t>
      </w:r>
    </w:p>
    <w:p w14:paraId="691385DF" w14:textId="4BCF8BAC"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r w:rsidR="00D320F7">
        <w:rPr>
          <w:rFonts w:ascii="Times New Roman" w:hAnsi="Times New Roman"/>
        </w:rPr>
        <w:t xml:space="preserve"> </w:t>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r w:rsidRPr="000B1BDB">
        <w:rPr>
          <w:rFonts w:ascii="Times New Roman" w:hAnsi="Times New Roman"/>
        </w:rPr>
        <w:tab/>
      </w:r>
      <w:r w:rsidR="00D320F7">
        <w:rPr>
          <w:rFonts w:ascii="Times New Roman" w:hAnsi="Times New Roman"/>
        </w:rPr>
        <w:tab/>
      </w:r>
      <w:r w:rsidRPr="000B1BDB">
        <w:rPr>
          <w:rFonts w:ascii="Times New Roman" w:hAnsi="Times New Roman"/>
        </w:rPr>
        <w:t xml:space="preserve">Andy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lastRenderedPageBreak/>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lastRenderedPageBreak/>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Faculty for this activity have been required to disclose all relationships with any proprietary entity producing health care goods or services, with the exemption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 xml:space="preserve">Jonet </w:t>
      </w:r>
      <w:proofErr w:type="spellStart"/>
      <w:r w:rsidRPr="000B1BDB">
        <w:rPr>
          <w:rFonts w:ascii="Times New Roman" w:hAnsi="Times New Roman"/>
        </w:rPr>
        <w:t>Vacsulk</w:t>
      </w:r>
      <w:r>
        <w:rPr>
          <w:rFonts w:ascii="Times New Roman" w:hAnsi="Times New Roman"/>
        </w:rPr>
        <w:t>a</w:t>
      </w:r>
      <w:proofErr w:type="spellEnd"/>
      <w:r>
        <w:rPr>
          <w:rFonts w:ascii="Times New Roman" w:hAnsi="Times New Roman"/>
        </w:rPr>
        <w:t xml:space="preserve">,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lastRenderedPageBreak/>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lastRenderedPageBreak/>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  Patient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  Requirements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  Dose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D1918"/>
    <w:rsid w:val="000D4988"/>
    <w:rsid w:val="000D5268"/>
    <w:rsid w:val="000D74A6"/>
    <w:rsid w:val="000D7728"/>
    <w:rsid w:val="000D7939"/>
    <w:rsid w:val="000E0E3D"/>
    <w:rsid w:val="000F203E"/>
    <w:rsid w:val="000F3C23"/>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D6164"/>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1F5D"/>
    <w:rsid w:val="00A04325"/>
    <w:rsid w:val="00A06B0E"/>
    <w:rsid w:val="00A072DF"/>
    <w:rsid w:val="00A07C25"/>
    <w:rsid w:val="00A1129F"/>
    <w:rsid w:val="00A121D3"/>
    <w:rsid w:val="00A12393"/>
    <w:rsid w:val="00A1355E"/>
    <w:rsid w:val="00A14A1F"/>
    <w:rsid w:val="00A20CC5"/>
    <w:rsid w:val="00A22FB1"/>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377A"/>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B1762"/>
    <w:rsid w:val="00CB64E9"/>
    <w:rsid w:val="00CB6D0F"/>
    <w:rsid w:val="00CB6E25"/>
    <w:rsid w:val="00CB77CA"/>
    <w:rsid w:val="00CC030C"/>
    <w:rsid w:val="00CC13CE"/>
    <w:rsid w:val="00CC1A38"/>
    <w:rsid w:val="00CC2D91"/>
    <w:rsid w:val="00CC3AAC"/>
    <w:rsid w:val="00CC7160"/>
    <w:rsid w:val="00CC76F4"/>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customXml/itemProps2.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2DB0FF2-EEFC-41B6-BB4F-2B6B4A1A6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7880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2025-03-18T15:56:00Z</dcterms:created>
  <dcterms:modified xsi:type="dcterms:W3CDTF">2025-03-18T15:56:00Z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