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16F81519" w14:textId="11133EB1" w:rsidR="00624475" w:rsidRPr="008A1F62" w:rsidRDefault="0062447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Patient Debriefs</w:t>
      </w:r>
    </w:p>
    <w:p w14:paraId="6A9B2ADA" w14:textId="0D27ECFD" w:rsidR="002A4535" w:rsidRDefault="008538AF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>December 1</w:t>
      </w:r>
      <w:r w:rsidR="00745EE8">
        <w:rPr>
          <w:rFonts w:cstheme="minorHAnsi"/>
          <w:b/>
          <w:color w:val="D56283"/>
        </w:rPr>
        <w:t>1</w:t>
      </w:r>
      <w:r w:rsidR="00AB0BEE">
        <w:rPr>
          <w:rFonts w:cstheme="minorHAnsi"/>
          <w:b/>
          <w:color w:val="D56283"/>
        </w:rPr>
        <w:t>, 2025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050466A6" w14:textId="77777777" w:rsidR="00BC5C3A" w:rsidRDefault="00BC5C3A" w:rsidP="00BC5C3A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5E88C143" w14:textId="4E1B5C34" w:rsidR="00B54326" w:rsidRPr="00B54326" w:rsidRDefault="507DE262" w:rsidP="507DE262">
      <w:pPr>
        <w:pStyle w:val="ListParagraph"/>
        <w:numPr>
          <w:ilvl w:val="0"/>
          <w:numId w:val="5"/>
        </w:numPr>
        <w:rPr>
          <w:rFonts w:cstheme="minorBidi"/>
          <w:color w:val="D56283"/>
        </w:rPr>
      </w:pPr>
      <w:r w:rsidRPr="507DE262">
        <w:rPr>
          <w:rFonts w:cstheme="minorBidi"/>
        </w:rPr>
        <w:t xml:space="preserve">Describe and recognize the role of sepsis event </w:t>
      </w:r>
      <w:r w:rsidR="00517858">
        <w:rPr>
          <w:rFonts w:cstheme="minorBidi"/>
        </w:rPr>
        <w:t xml:space="preserve">patient </w:t>
      </w:r>
      <w:r w:rsidRPr="507DE262">
        <w:rPr>
          <w:rFonts w:cstheme="minorBidi"/>
        </w:rPr>
        <w:t>debriefs for clinical teams</w:t>
      </w:r>
    </w:p>
    <w:p w14:paraId="6682C04E" w14:textId="03EF3D8E" w:rsidR="00B54326" w:rsidRPr="00B54326" w:rsidRDefault="507DE262" w:rsidP="507DE262">
      <w:pPr>
        <w:pStyle w:val="ListParagraph"/>
        <w:numPr>
          <w:ilvl w:val="0"/>
          <w:numId w:val="5"/>
        </w:numPr>
        <w:rPr>
          <w:rFonts w:cstheme="minorBidi"/>
          <w:color w:val="D56283"/>
        </w:rPr>
      </w:pPr>
      <w:r w:rsidRPr="507DE262">
        <w:rPr>
          <w:rFonts w:cstheme="minorBidi"/>
        </w:rPr>
        <w:t xml:space="preserve">Recognize the “why” </w:t>
      </w:r>
      <w:r w:rsidR="00DA3E36">
        <w:rPr>
          <w:rFonts w:cstheme="minorBidi"/>
        </w:rPr>
        <w:t>and tools for supportive communication after a severe maternal event</w:t>
      </w:r>
    </w:p>
    <w:p w14:paraId="2DA60D97" w14:textId="77777777" w:rsidR="00B54326" w:rsidRDefault="00B54326" w:rsidP="00BC5C3A">
      <w:pPr>
        <w:contextualSpacing/>
        <w:rPr>
          <w:rFonts w:cstheme="minorHAnsi"/>
          <w:b/>
          <w:color w:val="D56283"/>
        </w:rPr>
      </w:pPr>
    </w:p>
    <w:p w14:paraId="3566E9CA" w14:textId="77777777" w:rsidR="00624475" w:rsidRDefault="00624475" w:rsidP="00624475">
      <w:pPr>
        <w:rPr>
          <w:rFonts w:cstheme="minorHAnsi"/>
          <w:b/>
          <w:color w:val="D56283"/>
        </w:rPr>
      </w:pPr>
    </w:p>
    <w:p w14:paraId="31405DB3" w14:textId="581193FB" w:rsidR="002A4535" w:rsidRDefault="002A4535" w:rsidP="00624475">
      <w:pPr>
        <w:rPr>
          <w:rFonts w:cstheme="minorHAnsi"/>
          <w:bCs/>
        </w:rPr>
      </w:pPr>
      <w:r>
        <w:rPr>
          <w:rFonts w:cstheme="minorHAnsi"/>
          <w:b/>
          <w:color w:val="D56283"/>
        </w:rPr>
        <w:t>Agenda</w:t>
      </w:r>
      <w:r w:rsidR="0046528F">
        <w:rPr>
          <w:rFonts w:cstheme="minorHAnsi"/>
          <w:b/>
          <w:color w:val="D56283"/>
        </w:rPr>
        <w:t>:</w:t>
      </w:r>
    </w:p>
    <w:p w14:paraId="0264AF65" w14:textId="34219D06" w:rsidR="00745EE8" w:rsidRPr="00745EE8" w:rsidRDefault="00745EE8" w:rsidP="00745EE8">
      <w:pPr>
        <w:ind w:left="360"/>
        <w:rPr>
          <w:rFonts w:eastAsia="Calibri"/>
          <w:color w:val="000000" w:themeColor="text1"/>
        </w:rPr>
      </w:pPr>
      <w:r w:rsidRPr="00745EE8">
        <w:rPr>
          <w:rFonts w:eastAsia="Calibri"/>
          <w:color w:val="000000" w:themeColor="text1"/>
        </w:rPr>
        <w:t>11:00 a.m. to 11:0</w:t>
      </w:r>
      <w:r w:rsidR="00B54326">
        <w:rPr>
          <w:rFonts w:eastAsia="Calibri"/>
          <w:color w:val="000000" w:themeColor="text1"/>
        </w:rPr>
        <w:t>3</w:t>
      </w:r>
      <w:r w:rsidRPr="00745EE8">
        <w:rPr>
          <w:rFonts w:eastAsia="Calibri"/>
          <w:color w:val="000000" w:themeColor="text1"/>
        </w:rPr>
        <w:t xml:space="preserve"> a.m. –</w:t>
      </w:r>
      <w:r w:rsidRPr="00745EE8">
        <w:rPr>
          <w:rFonts w:eastAsia="Calibri"/>
          <w:b/>
          <w:bCs/>
          <w:color w:val="000000" w:themeColor="text1"/>
        </w:rPr>
        <w:t xml:space="preserve"> </w:t>
      </w:r>
      <w:r w:rsidRPr="00745EE8">
        <w:rPr>
          <w:rFonts w:eastAsia="Calibri"/>
          <w:b/>
          <w:bCs/>
          <w:color w:val="1B75BC"/>
        </w:rPr>
        <w:t>Welcome</w:t>
      </w:r>
      <w:r w:rsidRPr="00745EE8">
        <w:rPr>
          <w:rFonts w:eastAsia="Calibri"/>
          <w:b/>
          <w:bCs/>
          <w:color w:val="000000" w:themeColor="text1"/>
        </w:rPr>
        <w:t xml:space="preserve"> </w:t>
      </w:r>
      <w:r w:rsidRPr="00745EE8">
        <w:rPr>
          <w:rFonts w:eastAsia="Calibri"/>
          <w:color w:val="000000" w:themeColor="text1"/>
        </w:rPr>
        <w:t>–</w:t>
      </w:r>
      <w:r w:rsidRPr="00745EE8">
        <w:rPr>
          <w:rFonts w:eastAsia="Calibri"/>
          <w:b/>
          <w:bCs/>
          <w:color w:val="000000" w:themeColor="text1"/>
        </w:rPr>
        <w:t xml:space="preserve"> </w:t>
      </w:r>
      <w:bookmarkStart w:id="0" w:name="_Hlk201826539"/>
      <w:r w:rsidRPr="00745EE8">
        <w:rPr>
          <w:rFonts w:eastAsia="Calibri"/>
          <w:color w:val="000000" w:themeColor="text1"/>
        </w:rPr>
        <w:t xml:space="preserve">Jennifer Condel, </w:t>
      </w:r>
      <w:bookmarkEnd w:id="0"/>
      <w:r w:rsidRPr="00745EE8">
        <w:rPr>
          <w:rFonts w:eastAsia="Calibri"/>
          <w:color w:val="000000" w:themeColor="text1"/>
        </w:rPr>
        <w:t>SCT(ASCP)MT, Senior Program Manager, Perinatal Health, Jewish Healthcare Foundation</w:t>
      </w:r>
    </w:p>
    <w:p w14:paraId="6E1C63C9" w14:textId="7BC301BB" w:rsidR="1A1FB75E" w:rsidRDefault="1A1FB75E" w:rsidP="00745EE8">
      <w:pPr>
        <w:rPr>
          <w:rFonts w:eastAsia="Calibri"/>
          <w:color w:val="000000" w:themeColor="text1"/>
        </w:rPr>
      </w:pPr>
    </w:p>
    <w:p w14:paraId="00A3B738" w14:textId="2E867D0D" w:rsidR="00B54326" w:rsidRPr="00B54326" w:rsidRDefault="1A1FB75E" w:rsidP="00B54326">
      <w:pPr>
        <w:ind w:left="360"/>
        <w:rPr>
          <w:rFonts w:eastAsia="Calibri"/>
          <w:color w:val="000000" w:themeColor="text1"/>
        </w:rPr>
      </w:pPr>
      <w:bookmarkStart w:id="1" w:name="_Hlk214638546"/>
      <w:r w:rsidRPr="00B54326">
        <w:rPr>
          <w:rFonts w:eastAsia="Calibri"/>
          <w:color w:val="000000" w:themeColor="text1"/>
        </w:rPr>
        <w:t>11:0</w:t>
      </w:r>
      <w:r w:rsidR="00B54326">
        <w:rPr>
          <w:rFonts w:eastAsia="Calibri"/>
          <w:color w:val="000000" w:themeColor="text1"/>
        </w:rPr>
        <w:t>3</w:t>
      </w:r>
      <w:r w:rsidRPr="00B54326">
        <w:rPr>
          <w:rFonts w:eastAsia="Calibri"/>
          <w:color w:val="000000" w:themeColor="text1"/>
        </w:rPr>
        <w:t xml:space="preserve"> a.m. to 11:</w:t>
      </w:r>
      <w:r w:rsidR="00342B9A">
        <w:rPr>
          <w:rFonts w:eastAsia="Calibri"/>
          <w:color w:val="000000" w:themeColor="text1"/>
        </w:rPr>
        <w:t>10</w:t>
      </w:r>
      <w:r w:rsidR="00EB737D">
        <w:rPr>
          <w:rFonts w:eastAsia="Calibri"/>
          <w:color w:val="000000" w:themeColor="text1"/>
        </w:rPr>
        <w:t xml:space="preserve"> </w:t>
      </w:r>
      <w:r w:rsidRPr="00B54326">
        <w:rPr>
          <w:rFonts w:eastAsia="Calibri"/>
          <w:color w:val="000000" w:themeColor="text1"/>
        </w:rPr>
        <w:t>a.m.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 w:rsidR="00B54326">
        <w:rPr>
          <w:rFonts w:eastAsia="Calibri"/>
          <w:b/>
          <w:bCs/>
          <w:color w:val="1B75BC"/>
        </w:rPr>
        <w:t xml:space="preserve"> </w:t>
      </w:r>
      <w:r w:rsidR="00342B9A">
        <w:rPr>
          <w:rFonts w:eastAsia="Calibri"/>
          <w:b/>
          <w:bCs/>
          <w:color w:val="1B75BC"/>
        </w:rPr>
        <w:t xml:space="preserve">CMQCC </w:t>
      </w:r>
      <w:r w:rsidR="00342B9A" w:rsidRPr="00342B9A">
        <w:rPr>
          <w:rFonts w:eastAsia="Calibri"/>
          <w:b/>
          <w:bCs/>
          <w:color w:val="1B75BC"/>
        </w:rPr>
        <w:t>Improving Diagnosis and Treatment of Obstetric Sepsis, V2.0 Toolkit (2025)</w:t>
      </w:r>
      <w:r w:rsidR="00342B9A">
        <w:rPr>
          <w:rFonts w:eastAsia="Calibri"/>
          <w:b/>
          <w:bCs/>
          <w:color w:val="1B75BC"/>
        </w:rPr>
        <w:t>: Overview and The Why</w:t>
      </w:r>
      <w:r w:rsidRPr="00B54326">
        <w:rPr>
          <w:rFonts w:eastAsia="Calibri"/>
          <w:color w:val="000000" w:themeColor="text1"/>
        </w:rPr>
        <w:t>–</w:t>
      </w:r>
      <w:r w:rsidR="00B54326">
        <w:rPr>
          <w:rFonts w:eastAsia="Calibri"/>
          <w:b/>
          <w:bCs/>
          <w:color w:val="1B75BC"/>
        </w:rPr>
        <w:t xml:space="preserve"> </w:t>
      </w:r>
      <w:r w:rsidR="00B54326" w:rsidRPr="00B54326">
        <w:rPr>
          <w:rFonts w:eastAsia="Calibri"/>
          <w:color w:val="000000" w:themeColor="text1"/>
        </w:rPr>
        <w:t>Christa Walczak, MSN, RN, C-ONQS, C-EFM, CLE</w:t>
      </w:r>
      <w:r w:rsidR="00B54326">
        <w:rPr>
          <w:rFonts w:eastAsia="Calibri"/>
          <w:color w:val="000000" w:themeColor="text1"/>
        </w:rPr>
        <w:t xml:space="preserve">, </w:t>
      </w:r>
      <w:r w:rsidR="00B54326" w:rsidRPr="00B54326">
        <w:rPr>
          <w:rFonts w:eastAsia="Calibri"/>
          <w:color w:val="000000" w:themeColor="text1"/>
        </w:rPr>
        <w:t>Clinical Lead, CMQCC</w:t>
      </w:r>
      <w:r w:rsidR="00B54326">
        <w:rPr>
          <w:rFonts w:eastAsia="Calibri"/>
          <w:color w:val="000000" w:themeColor="text1"/>
        </w:rPr>
        <w:t xml:space="preserve">, </w:t>
      </w:r>
      <w:r w:rsidR="00B54326" w:rsidRPr="00B54326">
        <w:rPr>
          <w:rFonts w:eastAsia="Calibri"/>
          <w:color w:val="000000" w:themeColor="text1"/>
        </w:rPr>
        <w:t>Stanford Medicine</w:t>
      </w:r>
    </w:p>
    <w:bookmarkEnd w:id="1"/>
    <w:p w14:paraId="33F97E04" w14:textId="0BABA9BB" w:rsidR="00CE2642" w:rsidRDefault="00342B9A" w:rsidP="00342B9A">
      <w:pPr>
        <w:pStyle w:val="ListParagraph"/>
        <w:numPr>
          <w:ilvl w:val="0"/>
          <w:numId w:val="6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Broad overview of the new toolkit and why behind it</w:t>
      </w:r>
    </w:p>
    <w:p w14:paraId="7FE4DF95" w14:textId="77777777" w:rsidR="00342B9A" w:rsidRPr="00CE2642" w:rsidRDefault="00342B9A" w:rsidP="00342B9A">
      <w:pPr>
        <w:pStyle w:val="ListParagraph"/>
        <w:ind w:left="1800"/>
        <w:rPr>
          <w:rFonts w:eastAsia="Calibri"/>
          <w:color w:val="000000" w:themeColor="text1"/>
        </w:rPr>
      </w:pPr>
    </w:p>
    <w:p w14:paraId="3F936982" w14:textId="5D7705BA" w:rsidR="00B54326" w:rsidRPr="00B54326" w:rsidRDefault="1A1FB75E" w:rsidP="00B54326">
      <w:pPr>
        <w:ind w:left="360"/>
        <w:rPr>
          <w:rFonts w:eastAsia="Calibri"/>
          <w:color w:val="000000" w:themeColor="text1"/>
        </w:rPr>
      </w:pPr>
      <w:r w:rsidRPr="00B54326">
        <w:rPr>
          <w:rFonts w:eastAsia="Calibri"/>
          <w:color w:val="000000" w:themeColor="text1"/>
        </w:rPr>
        <w:t>11:</w:t>
      </w:r>
      <w:r w:rsidR="00342B9A">
        <w:rPr>
          <w:rFonts w:eastAsia="Calibri"/>
          <w:color w:val="000000" w:themeColor="text1"/>
        </w:rPr>
        <w:t>10</w:t>
      </w:r>
      <w:r w:rsidRPr="00B54326">
        <w:rPr>
          <w:rFonts w:eastAsia="Calibri"/>
          <w:color w:val="000000" w:themeColor="text1"/>
        </w:rPr>
        <w:t xml:space="preserve"> a.m. to 11:</w:t>
      </w:r>
      <w:r w:rsidR="00342B9A">
        <w:rPr>
          <w:rFonts w:eastAsia="Calibri"/>
          <w:color w:val="000000" w:themeColor="text1"/>
        </w:rPr>
        <w:t>30</w:t>
      </w:r>
      <w:r w:rsidRPr="00B54326">
        <w:rPr>
          <w:rFonts w:eastAsia="Calibri"/>
          <w:color w:val="000000" w:themeColor="text1"/>
        </w:rPr>
        <w:t xml:space="preserve"> a.m.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 w:rsidRPr="00B54326">
        <w:rPr>
          <w:rFonts w:eastAsia="Calibri"/>
          <w:b/>
          <w:bCs/>
          <w:color w:val="1B75BC"/>
        </w:rPr>
        <w:t xml:space="preserve"> </w:t>
      </w:r>
      <w:r w:rsidR="00CE2642">
        <w:rPr>
          <w:rFonts w:eastAsia="Calibri"/>
          <w:b/>
          <w:bCs/>
          <w:color w:val="1B75BC"/>
        </w:rPr>
        <w:t>Supportive Communication After a Severe Maternal Event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 xml:space="preserve">– </w:t>
      </w:r>
      <w:r w:rsidR="00B54326" w:rsidRPr="00B54326">
        <w:rPr>
          <w:rFonts w:eastAsia="Calibri"/>
          <w:color w:val="000000" w:themeColor="text1"/>
        </w:rPr>
        <w:t>Kayleigh Summers, LCSW, PMH-C</w:t>
      </w:r>
      <w:r w:rsidR="00B54326">
        <w:rPr>
          <w:rFonts w:eastAsia="Calibri"/>
          <w:color w:val="000000" w:themeColor="text1"/>
        </w:rPr>
        <w:t xml:space="preserve">, </w:t>
      </w:r>
      <w:r w:rsidR="00B54326" w:rsidRPr="00B54326">
        <w:rPr>
          <w:rFonts w:eastAsia="Calibri"/>
          <w:color w:val="000000" w:themeColor="text1"/>
        </w:rPr>
        <w:t>Licensed Therapist</w:t>
      </w:r>
      <w:r w:rsidR="00B54326">
        <w:rPr>
          <w:rFonts w:eastAsia="Calibri"/>
          <w:color w:val="000000" w:themeColor="text1"/>
        </w:rPr>
        <w:t xml:space="preserve">, </w:t>
      </w:r>
      <w:hyperlink r:id="rId10" w:tgtFrame="_blank" w:history="1">
        <w:r w:rsidR="00B54326" w:rsidRPr="00B54326">
          <w:rPr>
            <w:rStyle w:val="Hyperlink"/>
            <w:rFonts w:eastAsia="Calibri"/>
          </w:rPr>
          <w:t>The Birth Trauma Mama</w:t>
        </w:r>
      </w:hyperlink>
    </w:p>
    <w:p w14:paraId="3CE5F154" w14:textId="77777777" w:rsidR="00342B9A" w:rsidRDefault="00342B9A" w:rsidP="00342B9A">
      <w:pPr>
        <w:rPr>
          <w:rFonts w:ascii="Aptos" w:hAnsi="Aptos" w:cs="Aptos"/>
          <w:sz w:val="24"/>
          <w:szCs w:val="24"/>
        </w:rPr>
      </w:pPr>
    </w:p>
    <w:p w14:paraId="38F2D3FC" w14:textId="2AB0E906" w:rsidR="00342B9A" w:rsidRPr="00B54326" w:rsidRDefault="00342B9A" w:rsidP="00342B9A">
      <w:pPr>
        <w:ind w:left="360"/>
        <w:rPr>
          <w:rFonts w:eastAsia="Calibri"/>
          <w:color w:val="000000" w:themeColor="text1"/>
        </w:rPr>
      </w:pPr>
      <w:r w:rsidRPr="00B54326">
        <w:rPr>
          <w:rFonts w:eastAsia="Calibri"/>
          <w:color w:val="000000" w:themeColor="text1"/>
        </w:rPr>
        <w:t>11:</w:t>
      </w:r>
      <w:r>
        <w:rPr>
          <w:rFonts w:eastAsia="Calibri"/>
          <w:color w:val="000000" w:themeColor="text1"/>
        </w:rPr>
        <w:t>30</w:t>
      </w:r>
      <w:r w:rsidRPr="00B54326">
        <w:rPr>
          <w:rFonts w:eastAsia="Calibri"/>
          <w:color w:val="000000" w:themeColor="text1"/>
        </w:rPr>
        <w:t xml:space="preserve"> a.m. to 11:</w:t>
      </w:r>
      <w:r w:rsidR="0056294D">
        <w:rPr>
          <w:rFonts w:eastAsia="Calibri"/>
          <w:color w:val="000000" w:themeColor="text1"/>
        </w:rPr>
        <w:t>47</w:t>
      </w:r>
      <w:r>
        <w:rPr>
          <w:rFonts w:eastAsia="Calibri"/>
          <w:color w:val="000000" w:themeColor="text1"/>
        </w:rPr>
        <w:t xml:space="preserve"> </w:t>
      </w:r>
      <w:r w:rsidRPr="00B54326">
        <w:rPr>
          <w:rFonts w:eastAsia="Calibri"/>
          <w:color w:val="000000" w:themeColor="text1"/>
        </w:rPr>
        <w:t>a.m.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>
        <w:rPr>
          <w:rFonts w:eastAsia="Calibri"/>
          <w:b/>
          <w:bCs/>
          <w:color w:val="1B75BC"/>
        </w:rPr>
        <w:t xml:space="preserve"> Sepsis Event Debriefs</w:t>
      </w:r>
      <w:r w:rsidRPr="00B54326">
        <w:rPr>
          <w:rFonts w:eastAsia="Calibri"/>
          <w:b/>
          <w:bCs/>
          <w:color w:val="0070C0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Christa Walczak, MSN, RN, C-ONQS, C-EFM, CLE</w:t>
      </w:r>
      <w:r>
        <w:rPr>
          <w:rFonts w:eastAsia="Calibri"/>
          <w:color w:val="000000" w:themeColor="text1"/>
        </w:rPr>
        <w:t xml:space="preserve">, </w:t>
      </w:r>
      <w:r w:rsidRPr="00B54326">
        <w:rPr>
          <w:rFonts w:eastAsia="Calibri"/>
          <w:color w:val="000000" w:themeColor="text1"/>
        </w:rPr>
        <w:t>Clinical Lead, CMQCC</w:t>
      </w:r>
      <w:r>
        <w:rPr>
          <w:rFonts w:eastAsia="Calibri"/>
          <w:color w:val="000000" w:themeColor="text1"/>
        </w:rPr>
        <w:t xml:space="preserve">, </w:t>
      </w:r>
      <w:r w:rsidRPr="00B54326">
        <w:rPr>
          <w:rFonts w:eastAsia="Calibri"/>
          <w:color w:val="000000" w:themeColor="text1"/>
        </w:rPr>
        <w:t>Stanford Medicine</w:t>
      </w:r>
    </w:p>
    <w:p w14:paraId="40FC226C" w14:textId="77777777" w:rsidR="00342B9A" w:rsidRDefault="00342B9A" w:rsidP="00342B9A">
      <w:pPr>
        <w:rPr>
          <w:rFonts w:ascii="Aptos" w:hAnsi="Aptos" w:cs="Aptos"/>
          <w:sz w:val="24"/>
          <w:szCs w:val="24"/>
        </w:rPr>
      </w:pPr>
    </w:p>
    <w:p w14:paraId="05EE890E" w14:textId="3263CCA1" w:rsidR="0069668E" w:rsidRPr="0069668E" w:rsidRDefault="1A1FB75E" w:rsidP="0069668E">
      <w:pPr>
        <w:ind w:left="360"/>
        <w:rPr>
          <w:rFonts w:eastAsia="Calibri"/>
          <w:color w:val="000000" w:themeColor="text1"/>
        </w:rPr>
      </w:pPr>
      <w:r w:rsidRPr="00B54326">
        <w:rPr>
          <w:rFonts w:eastAsia="Calibri"/>
          <w:color w:val="000000" w:themeColor="text1"/>
        </w:rPr>
        <w:t>11:</w:t>
      </w:r>
      <w:r w:rsidR="0056294D">
        <w:rPr>
          <w:rFonts w:eastAsia="Calibri"/>
          <w:color w:val="000000" w:themeColor="text1"/>
        </w:rPr>
        <w:t>47</w:t>
      </w:r>
      <w:r w:rsidRPr="00B54326">
        <w:rPr>
          <w:rFonts w:eastAsia="Calibri"/>
          <w:color w:val="000000" w:themeColor="text1"/>
        </w:rPr>
        <w:t xml:space="preserve"> a.m. to 11:5</w:t>
      </w:r>
      <w:r w:rsidR="00B54326">
        <w:rPr>
          <w:rFonts w:eastAsia="Calibri"/>
          <w:color w:val="000000" w:themeColor="text1"/>
        </w:rPr>
        <w:t>7</w:t>
      </w:r>
      <w:r w:rsidRPr="00B54326">
        <w:rPr>
          <w:rFonts w:eastAsia="Calibri"/>
          <w:color w:val="000000" w:themeColor="text1"/>
        </w:rPr>
        <w:t xml:space="preserve"> a.m.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 w:rsidRPr="00B54326">
        <w:rPr>
          <w:rFonts w:eastAsia="Calibri"/>
          <w:b/>
          <w:bCs/>
          <w:color w:val="1B75BC"/>
        </w:rPr>
        <w:t xml:space="preserve"> </w:t>
      </w:r>
      <w:r w:rsidR="00B54326">
        <w:rPr>
          <w:rFonts w:eastAsia="Calibri"/>
          <w:b/>
          <w:bCs/>
          <w:color w:val="1B75BC"/>
        </w:rPr>
        <w:t>Question &amp; Answer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 xml:space="preserve">– </w:t>
      </w:r>
      <w:r w:rsidR="00B54326">
        <w:rPr>
          <w:rFonts w:eastAsia="Calibri"/>
          <w:color w:val="000000" w:themeColor="text1"/>
        </w:rPr>
        <w:t xml:space="preserve">facilitated by </w:t>
      </w:r>
      <w:r w:rsidR="0069668E" w:rsidRPr="0069668E">
        <w:rPr>
          <w:rFonts w:eastAsia="Calibri"/>
          <w:color w:val="000000" w:themeColor="text1"/>
        </w:rPr>
        <w:t>Kristen Brenneman, MSN, PA PQC QI Coach, Jewish Healthcare Foundation</w:t>
      </w:r>
    </w:p>
    <w:p w14:paraId="1CD0F3BD" w14:textId="77777777" w:rsidR="0069668E" w:rsidRPr="00B54326" w:rsidRDefault="0069668E" w:rsidP="1A1FB75E">
      <w:pPr>
        <w:ind w:left="360"/>
        <w:rPr>
          <w:rFonts w:eastAsia="Calibri"/>
          <w:color w:val="000000" w:themeColor="text1"/>
        </w:rPr>
      </w:pPr>
    </w:p>
    <w:p w14:paraId="5264021D" w14:textId="65D2D6D5" w:rsidR="1A1FB75E" w:rsidRPr="00B54326" w:rsidRDefault="1A1FB75E" w:rsidP="1A1FB75E">
      <w:pPr>
        <w:ind w:left="360"/>
        <w:rPr>
          <w:rFonts w:eastAsia="Calibri"/>
          <w:color w:val="1B75BC"/>
        </w:rPr>
      </w:pPr>
    </w:p>
    <w:p w14:paraId="30780601" w14:textId="77777777" w:rsidR="00B54326" w:rsidRPr="00B54326" w:rsidRDefault="1A1FB75E" w:rsidP="00B54326">
      <w:pPr>
        <w:ind w:left="360"/>
        <w:rPr>
          <w:rFonts w:eastAsia="Calibri"/>
        </w:rPr>
      </w:pPr>
      <w:r w:rsidRPr="00B54326">
        <w:rPr>
          <w:rFonts w:eastAsia="Calibri"/>
          <w:color w:val="000000" w:themeColor="text1"/>
        </w:rPr>
        <w:t>11:5</w:t>
      </w:r>
      <w:r w:rsidR="00B54326">
        <w:rPr>
          <w:rFonts w:eastAsia="Calibri"/>
          <w:color w:val="000000" w:themeColor="text1"/>
        </w:rPr>
        <w:t>7</w:t>
      </w:r>
      <w:r w:rsidRPr="00B54326">
        <w:rPr>
          <w:rFonts w:eastAsia="Calibri"/>
          <w:color w:val="000000" w:themeColor="text1"/>
        </w:rPr>
        <w:t xml:space="preserve"> a.m. to 12:00 p.m.</w:t>
      </w:r>
      <w:r w:rsidRPr="00B54326">
        <w:rPr>
          <w:rFonts w:eastAsia="Calibri"/>
          <w:b/>
          <w:bCs/>
          <w:color w:val="1B75BC"/>
        </w:rPr>
        <w:t xml:space="preserve"> </w:t>
      </w:r>
      <w:r w:rsidRPr="00B54326">
        <w:rPr>
          <w:rFonts w:eastAsia="Calibri"/>
          <w:color w:val="000000" w:themeColor="text1"/>
        </w:rPr>
        <w:t>–</w:t>
      </w:r>
      <w:r w:rsidRPr="00B54326">
        <w:rPr>
          <w:rFonts w:eastAsia="Calibri"/>
          <w:b/>
          <w:bCs/>
          <w:color w:val="1B75BC"/>
        </w:rPr>
        <w:t xml:space="preserve"> Wrap-up &amp; Next Steps </w:t>
      </w:r>
      <w:r w:rsidRPr="00B54326">
        <w:rPr>
          <w:rFonts w:eastAsia="Calibri"/>
        </w:rPr>
        <w:t xml:space="preserve">– </w:t>
      </w:r>
      <w:r w:rsidR="00B54326">
        <w:rPr>
          <w:rFonts w:eastAsia="Calibri"/>
        </w:rPr>
        <w:t xml:space="preserve">Lisa Boyd, </w:t>
      </w:r>
      <w:r w:rsidR="00B54326" w:rsidRPr="00B54326">
        <w:rPr>
          <w:rFonts w:eastAsia="Calibri"/>
        </w:rPr>
        <w:t>PA PQC Data Manager and QI Coach, Jewish Healthcare Foundation</w:t>
      </w:r>
    </w:p>
    <w:p w14:paraId="13DA4AB1" w14:textId="078B0EBC" w:rsidR="1A1FB75E" w:rsidRDefault="1A1FB75E" w:rsidP="1A1FB75E">
      <w:pPr>
        <w:ind w:left="360"/>
        <w:rPr>
          <w:rFonts w:eastAsia="Calibri"/>
          <w:color w:val="000000" w:themeColor="text1"/>
        </w:rPr>
      </w:pPr>
    </w:p>
    <w:p w14:paraId="59098DA3" w14:textId="77777777" w:rsidR="00624475" w:rsidRDefault="00624475" w:rsidP="00CE2642">
      <w:pPr>
        <w:rPr>
          <w:rFonts w:asciiTheme="minorHAnsi" w:hAnsiTheme="minorHAnsi" w:cstheme="minorBidi"/>
          <w:b/>
          <w:bCs/>
          <w:color w:val="00B0F0"/>
          <w:sz w:val="24"/>
          <w:szCs w:val="24"/>
        </w:rPr>
      </w:pPr>
    </w:p>
    <w:p w14:paraId="2595C869" w14:textId="77777777" w:rsidR="0046528F" w:rsidRDefault="0046528F" w:rsidP="001636C4">
      <w:pPr>
        <w:rPr>
          <w:rFonts w:asciiTheme="minorHAnsi" w:hAnsiTheme="minorHAnsi"/>
          <w:sz w:val="24"/>
          <w:szCs w:val="24"/>
        </w:rPr>
      </w:pPr>
    </w:p>
    <w:p w14:paraId="00C40BEE" w14:textId="77777777" w:rsidR="0046528F" w:rsidRPr="00DA11A6" w:rsidRDefault="0046528F" w:rsidP="001636C4">
      <w:pPr>
        <w:rPr>
          <w:rFonts w:asciiTheme="minorHAnsi" w:hAnsiTheme="minorHAnsi"/>
          <w:sz w:val="24"/>
          <w:szCs w:val="24"/>
        </w:rPr>
      </w:pPr>
    </w:p>
    <w:sectPr w:rsidR="0046528F" w:rsidRPr="00DA11A6" w:rsidSect="002A4535">
      <w:footerReference w:type="default" r:id="rId11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C62E" w14:textId="77777777" w:rsidR="00B4004B" w:rsidRDefault="00B4004B">
      <w:r>
        <w:separator/>
      </w:r>
    </w:p>
  </w:endnote>
  <w:endnote w:type="continuationSeparator" w:id="0">
    <w:p w14:paraId="158F7710" w14:textId="77777777" w:rsidR="00B4004B" w:rsidRDefault="00B4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745EE8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9E32" w14:textId="77777777" w:rsidR="00B4004B" w:rsidRDefault="00B4004B">
      <w:r>
        <w:separator/>
      </w:r>
    </w:p>
  </w:footnote>
  <w:footnote w:type="continuationSeparator" w:id="0">
    <w:p w14:paraId="23F74CBD" w14:textId="77777777" w:rsidR="00B4004B" w:rsidRDefault="00B4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4F1"/>
    <w:multiLevelType w:val="hybridMultilevel"/>
    <w:tmpl w:val="1062D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1025D9"/>
    <w:multiLevelType w:val="hybridMultilevel"/>
    <w:tmpl w:val="30DA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7AFB457B"/>
    <w:multiLevelType w:val="hybridMultilevel"/>
    <w:tmpl w:val="6D2E0F04"/>
    <w:lvl w:ilvl="0" w:tplc="8E640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E2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EE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20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6B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CC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6B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CFD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229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500343">
    <w:abstractNumId w:val="3"/>
  </w:num>
  <w:num w:numId="2" w16cid:durableId="282687137">
    <w:abstractNumId w:val="4"/>
  </w:num>
  <w:num w:numId="3" w16cid:durableId="48466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050809">
    <w:abstractNumId w:val="1"/>
  </w:num>
  <w:num w:numId="5" w16cid:durableId="532807841">
    <w:abstractNumId w:val="2"/>
  </w:num>
  <w:num w:numId="6" w16cid:durableId="319621171">
    <w:abstractNumId w:val="0"/>
  </w:num>
  <w:num w:numId="7" w16cid:durableId="968124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25809"/>
    <w:rsid w:val="000440E2"/>
    <w:rsid w:val="00090850"/>
    <w:rsid w:val="000A2020"/>
    <w:rsid w:val="00111569"/>
    <w:rsid w:val="00123785"/>
    <w:rsid w:val="00144B11"/>
    <w:rsid w:val="0016036B"/>
    <w:rsid w:val="001636C4"/>
    <w:rsid w:val="001A7DC7"/>
    <w:rsid w:val="001B5177"/>
    <w:rsid w:val="002470D6"/>
    <w:rsid w:val="00255C7E"/>
    <w:rsid w:val="002928E6"/>
    <w:rsid w:val="002A4535"/>
    <w:rsid w:val="002A5372"/>
    <w:rsid w:val="002D227A"/>
    <w:rsid w:val="002F312A"/>
    <w:rsid w:val="00310803"/>
    <w:rsid w:val="003171FE"/>
    <w:rsid w:val="003371EA"/>
    <w:rsid w:val="00342B9A"/>
    <w:rsid w:val="00353D41"/>
    <w:rsid w:val="00353E3B"/>
    <w:rsid w:val="00361C88"/>
    <w:rsid w:val="00376716"/>
    <w:rsid w:val="003910CF"/>
    <w:rsid w:val="003E39D2"/>
    <w:rsid w:val="003E75FA"/>
    <w:rsid w:val="003F6579"/>
    <w:rsid w:val="00406C3E"/>
    <w:rsid w:val="00410E13"/>
    <w:rsid w:val="004206C6"/>
    <w:rsid w:val="00437E01"/>
    <w:rsid w:val="0046528F"/>
    <w:rsid w:val="00477830"/>
    <w:rsid w:val="004B10E9"/>
    <w:rsid w:val="004B3F2D"/>
    <w:rsid w:val="004C75D6"/>
    <w:rsid w:val="004E384B"/>
    <w:rsid w:val="00517858"/>
    <w:rsid w:val="0054322F"/>
    <w:rsid w:val="00561B4F"/>
    <w:rsid w:val="0056294D"/>
    <w:rsid w:val="00581F34"/>
    <w:rsid w:val="005C795C"/>
    <w:rsid w:val="005F5A61"/>
    <w:rsid w:val="00613685"/>
    <w:rsid w:val="00624475"/>
    <w:rsid w:val="006654CD"/>
    <w:rsid w:val="00691F0C"/>
    <w:rsid w:val="0069668E"/>
    <w:rsid w:val="006B53EB"/>
    <w:rsid w:val="006D2D3C"/>
    <w:rsid w:val="006F07F6"/>
    <w:rsid w:val="007378F2"/>
    <w:rsid w:val="00742DE1"/>
    <w:rsid w:val="00745EE8"/>
    <w:rsid w:val="00770A66"/>
    <w:rsid w:val="00771589"/>
    <w:rsid w:val="00786BA2"/>
    <w:rsid w:val="007C195F"/>
    <w:rsid w:val="007C4A2C"/>
    <w:rsid w:val="007D29E3"/>
    <w:rsid w:val="007F72A2"/>
    <w:rsid w:val="00845EC4"/>
    <w:rsid w:val="008538AF"/>
    <w:rsid w:val="008758B4"/>
    <w:rsid w:val="00881684"/>
    <w:rsid w:val="008979F5"/>
    <w:rsid w:val="008C5770"/>
    <w:rsid w:val="008F5D29"/>
    <w:rsid w:val="00934D24"/>
    <w:rsid w:val="0098793D"/>
    <w:rsid w:val="009A281B"/>
    <w:rsid w:val="009E6F54"/>
    <w:rsid w:val="00A0776D"/>
    <w:rsid w:val="00A24668"/>
    <w:rsid w:val="00A941A1"/>
    <w:rsid w:val="00AA38AD"/>
    <w:rsid w:val="00AB0BEE"/>
    <w:rsid w:val="00AC61B4"/>
    <w:rsid w:val="00AC74DE"/>
    <w:rsid w:val="00AD60ED"/>
    <w:rsid w:val="00AD74F5"/>
    <w:rsid w:val="00AF2766"/>
    <w:rsid w:val="00AF3DF1"/>
    <w:rsid w:val="00AF50D4"/>
    <w:rsid w:val="00B04D36"/>
    <w:rsid w:val="00B4004B"/>
    <w:rsid w:val="00B40217"/>
    <w:rsid w:val="00B54326"/>
    <w:rsid w:val="00B65B3B"/>
    <w:rsid w:val="00BC5C3A"/>
    <w:rsid w:val="00BC75AC"/>
    <w:rsid w:val="00BE6944"/>
    <w:rsid w:val="00C1267B"/>
    <w:rsid w:val="00C13F05"/>
    <w:rsid w:val="00C31A24"/>
    <w:rsid w:val="00C5672D"/>
    <w:rsid w:val="00C92AA3"/>
    <w:rsid w:val="00CA7859"/>
    <w:rsid w:val="00CB327D"/>
    <w:rsid w:val="00CE2642"/>
    <w:rsid w:val="00CE312A"/>
    <w:rsid w:val="00CF437D"/>
    <w:rsid w:val="00D0356C"/>
    <w:rsid w:val="00D12999"/>
    <w:rsid w:val="00D268BD"/>
    <w:rsid w:val="00D457BB"/>
    <w:rsid w:val="00DA11A6"/>
    <w:rsid w:val="00DA3E36"/>
    <w:rsid w:val="00E0605F"/>
    <w:rsid w:val="00E07F44"/>
    <w:rsid w:val="00E400CD"/>
    <w:rsid w:val="00E61333"/>
    <w:rsid w:val="00EB1E43"/>
    <w:rsid w:val="00EB737D"/>
    <w:rsid w:val="00EE263E"/>
    <w:rsid w:val="00EE75E0"/>
    <w:rsid w:val="00F378B2"/>
    <w:rsid w:val="00F57BFA"/>
    <w:rsid w:val="00F7154C"/>
    <w:rsid w:val="00F71C9B"/>
    <w:rsid w:val="00F774D2"/>
    <w:rsid w:val="00FD2283"/>
    <w:rsid w:val="00FF4A85"/>
    <w:rsid w:val="00FF5C24"/>
    <w:rsid w:val="1A1FB75E"/>
    <w:rsid w:val="507DE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543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3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ldefense.proofpoint.com/v2/url?u=http-3A__www.thebirthtraumamama.com_&amp;d=DwMFaQ&amp;c=euGZstcaTDllvimEN8b7jXrwqOf-v5A_CdpgnVfiiMM&amp;r=QvELNwqqwDqJHzefWP08upsb9FHhXCLxKvGQIo1syj4&amp;m=1wTqSVOqH6vACSuc9cEnFmJJ5DZ-a8fcE7CBuE-4LnEuKT6TeLBekdWCQ-SB34pO&amp;s=4w80H1nGLrTNUusOILN4wFlrrcz9yl0ARH3Ock9ibXc&amp;e=" TargetMode="Externa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1479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Lisa Boyd</cp:lastModifiedBy>
  <cp:revision>4</cp:revision>
  <dcterms:created xsi:type="dcterms:W3CDTF">2025-12-05T17:17:00Z</dcterms:created>
  <dcterms:modified xsi:type="dcterms:W3CDTF">2025-12-05T17:20:00Z</dcterms:modified>
</cp:coreProperties>
</file>