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7D4171C9" w:rsidR="665B5538" w:rsidRPr="00A31A41" w:rsidRDefault="2E034701" w:rsidP="0096696A">
      <w:pPr>
        <w:pStyle w:val="paragraph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278BD9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97AC0">
        <w:rPr>
          <w:rStyle w:val="normaltextrun"/>
          <w:rFonts w:asciiTheme="minorHAnsi" w:eastAsiaTheme="minorEastAsia" w:hAnsiTheme="minorHAnsi" w:cstheme="minorBidi"/>
        </w:rPr>
        <w:t>Care Planning I</w:t>
      </w:r>
    </w:p>
    <w:p w14:paraId="01111EBA" w14:textId="578B7B7F" w:rsidR="00693505" w:rsidRPr="00A31A41" w:rsidRDefault="2E034701" w:rsidP="0096696A">
      <w:pPr>
        <w:pStyle w:val="paragraph"/>
        <w:spacing w:before="0" w:beforeAutospacing="0" w:after="120" w:afterAutospacing="0"/>
        <w:rPr>
          <w:rFonts w:asciiTheme="minorHAnsi" w:eastAsiaTheme="minorEastAsia" w:hAnsiTheme="minorHAnsi" w:cstheme="minorHAns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00A31A41">
        <w:rPr>
          <w:rFonts w:asciiTheme="minorHAnsi" w:eastAsiaTheme="minorEastAsia" w:hAnsiTheme="minorHAnsi" w:cstheme="minorBidi"/>
        </w:rPr>
        <w:t xml:space="preserve"> </w:t>
      </w:r>
      <w:r w:rsidR="1FB3EBE9" w:rsidRPr="00A31A41">
        <w:rPr>
          <w:rFonts w:asciiTheme="minorHAnsi" w:eastAsiaTheme="minorEastAsia" w:hAnsiTheme="minorHAnsi" w:cstheme="minorBidi"/>
        </w:rPr>
        <w:t xml:space="preserve"> </w:t>
      </w:r>
      <w:r w:rsidR="0096696A" w:rsidRPr="0096696A">
        <w:rPr>
          <w:rFonts w:asciiTheme="minorHAnsi" w:eastAsiaTheme="minorEastAsia" w:hAnsiTheme="minorHAnsi" w:cstheme="minorHAnsi"/>
        </w:rPr>
        <w:t>Elizabeth Schrage, MA, MPP, Senior Program Implementation Specialist</w:t>
      </w:r>
      <w:r w:rsidR="0096696A">
        <w:rPr>
          <w:rFonts w:asciiTheme="minorHAnsi" w:eastAsiaTheme="minorEastAsia" w:hAnsiTheme="minorHAnsi" w:cstheme="minorHAnsi"/>
        </w:rPr>
        <w:t xml:space="preserve">; </w:t>
      </w:r>
      <w:r w:rsidR="0096696A" w:rsidRPr="0096696A">
        <w:rPr>
          <w:rFonts w:asciiTheme="minorHAnsi" w:eastAsiaTheme="minorEastAsia" w:hAnsiTheme="minorHAnsi" w:cstheme="minorHAnsi"/>
        </w:rPr>
        <w:t>Brian Issi, MSW, LSW, MBA, Associate Program Implementation Specialist</w:t>
      </w:r>
      <w:r w:rsidR="0096696A">
        <w:rPr>
          <w:rFonts w:asciiTheme="minorHAnsi" w:eastAsiaTheme="minorEastAsia" w:hAnsiTheme="minorHAnsi" w:cstheme="minorHAnsi"/>
        </w:rPr>
        <w:t xml:space="preserve">; and </w:t>
      </w:r>
      <w:r w:rsidR="001B30F6">
        <w:rPr>
          <w:rFonts w:asciiTheme="minorHAnsi" w:eastAsiaTheme="minorEastAsia" w:hAnsiTheme="minorHAnsi" w:cstheme="minorHAnsi"/>
        </w:rPr>
        <w:t>Julie Brewer</w:t>
      </w:r>
      <w:r w:rsidR="0096696A">
        <w:rPr>
          <w:rFonts w:asciiTheme="minorHAnsi" w:eastAsiaTheme="minorEastAsia" w:hAnsiTheme="minorHAnsi" w:cstheme="minorHAnsi"/>
        </w:rPr>
        <w:t>, MSW, MPH, S</w:t>
      </w:r>
      <w:r w:rsidR="0096696A" w:rsidRPr="0096696A">
        <w:rPr>
          <w:rFonts w:asciiTheme="minorHAnsi" w:eastAsiaTheme="minorEastAsia" w:hAnsiTheme="minorHAnsi" w:cstheme="minorHAnsi"/>
        </w:rPr>
        <w:t>enior Program Implementation Specialist</w:t>
      </w:r>
    </w:p>
    <w:p w14:paraId="0D1AEC09" w14:textId="618B8BBA" w:rsidR="002948D1" w:rsidRPr="00A31A41" w:rsidRDefault="07A9DAF5" w:rsidP="0096696A">
      <w:pPr>
        <w:pStyle w:val="paragraph"/>
        <w:spacing w:before="0" w:beforeAutospacing="0" w:after="120" w:afterAutospacing="0"/>
        <w:rPr>
          <w:rFonts w:asciiTheme="minorHAnsi" w:eastAsiaTheme="minorEastAsia" w:hAnsiTheme="minorHAnsi" w:cstheme="minorBid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7BEDAFB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144391F2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BE40A6" w:rsidRPr="00A31A41">
        <w:rPr>
          <w:rStyle w:val="normaltextrun"/>
          <w:rFonts w:asciiTheme="minorHAnsi" w:eastAsiaTheme="minorEastAsia" w:hAnsiTheme="minorHAnsi" w:cstheme="minorBidi"/>
        </w:rPr>
        <w:t>4</w:t>
      </w:r>
      <w:r w:rsidR="64C51DD7" w:rsidRPr="00A31A41">
        <w:rPr>
          <w:rStyle w:val="normaltextrun"/>
          <w:rFonts w:asciiTheme="minorHAnsi" w:eastAsiaTheme="minorEastAsia" w:hAnsiTheme="minorHAnsi" w:cstheme="minorBidi"/>
        </w:rPr>
        <w:t>/</w:t>
      </w:r>
      <w:r w:rsidR="00BE40A6" w:rsidRPr="00A31A41">
        <w:rPr>
          <w:rStyle w:val="normaltextrun"/>
          <w:rFonts w:asciiTheme="minorHAnsi" w:eastAsiaTheme="minorEastAsia" w:hAnsiTheme="minorHAnsi" w:cstheme="minorBidi"/>
        </w:rPr>
        <w:t>22</w:t>
      </w:r>
      <w:r w:rsidR="64C51DD7" w:rsidRPr="00A31A41">
        <w:rPr>
          <w:rStyle w:val="normaltextrun"/>
          <w:rFonts w:asciiTheme="minorHAnsi" w:eastAsiaTheme="minorEastAsia" w:hAnsiTheme="minorHAnsi" w:cstheme="minorBidi"/>
        </w:rPr>
        <w:t>/2026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, 12pm-1</w:t>
      </w:r>
      <w:r w:rsidR="4FB74B53" w:rsidRPr="00A31A41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Pr="00A31A41" w:rsidRDefault="78D9DED7" w:rsidP="0096696A">
      <w:pPr>
        <w:spacing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60DE9F20" w:rsidR="78D9DED7" w:rsidRPr="00A31A41" w:rsidRDefault="78D9DED7" w:rsidP="0096696A">
      <w:pPr>
        <w:spacing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University of Pittsburgh, School of Pharmacy, </w:t>
      </w:r>
      <w:r w:rsidR="0096696A" w:rsidRPr="0096696A">
        <w:rPr>
          <w:rFonts w:eastAsiaTheme="minorEastAsia" w:cstheme="minorHAnsi"/>
        </w:rPr>
        <w:t>Implementation and Research Center for Healthy Communities (IRC)</w:t>
      </w:r>
    </w:p>
    <w:p w14:paraId="495D22DA" w14:textId="3A496430" w:rsidR="78D9DED7" w:rsidRPr="00A31A41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A31A41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A31A41" w:rsidRDefault="2E034701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7A9D5AF2" w14:textId="0CEE6910" w:rsidR="00681C02" w:rsidRPr="00681C02" w:rsidRDefault="00681C02" w:rsidP="00681C02">
      <w:pPr>
        <w:pStyle w:val="ListParagraph"/>
        <w:numPr>
          <w:ilvl w:val="0"/>
          <w:numId w:val="29"/>
        </w:numPr>
        <w:spacing w:after="0"/>
        <w:textAlignment w:val="baseline"/>
        <w:rPr>
          <w:sz w:val="24"/>
          <w:szCs w:val="24"/>
        </w:rPr>
      </w:pPr>
      <w:r w:rsidRPr="00681C02">
        <w:rPr>
          <w:sz w:val="24"/>
          <w:szCs w:val="24"/>
        </w:rPr>
        <w:t>Differentiate care planning from the care plan and explain its impact on care quality.</w:t>
      </w:r>
    </w:p>
    <w:p w14:paraId="01B6F7FE" w14:textId="4D68D29D" w:rsidR="00681C02" w:rsidRPr="00681C02" w:rsidRDefault="00681C02" w:rsidP="00681C02">
      <w:pPr>
        <w:pStyle w:val="ListParagraph"/>
        <w:numPr>
          <w:ilvl w:val="0"/>
          <w:numId w:val="29"/>
        </w:numPr>
        <w:spacing w:after="0"/>
        <w:textAlignment w:val="baseline"/>
        <w:rPr>
          <w:sz w:val="24"/>
          <w:szCs w:val="24"/>
        </w:rPr>
      </w:pPr>
      <w:r w:rsidRPr="00681C02">
        <w:rPr>
          <w:sz w:val="24"/>
          <w:szCs w:val="24"/>
        </w:rPr>
        <w:t>Describe how assessment data and team input inform care planning decisions.</w:t>
      </w:r>
    </w:p>
    <w:p w14:paraId="63548B56" w14:textId="7167EB24" w:rsidR="00681C02" w:rsidRPr="00681C02" w:rsidRDefault="00681C02" w:rsidP="00681C02">
      <w:pPr>
        <w:pStyle w:val="ListParagraph"/>
        <w:numPr>
          <w:ilvl w:val="0"/>
          <w:numId w:val="29"/>
        </w:numPr>
        <w:spacing w:after="0"/>
        <w:textAlignment w:val="baseline"/>
        <w:rPr>
          <w:sz w:val="24"/>
          <w:szCs w:val="24"/>
        </w:rPr>
      </w:pPr>
      <w:r w:rsidRPr="00681C02">
        <w:rPr>
          <w:sz w:val="24"/>
          <w:szCs w:val="24"/>
        </w:rPr>
        <w:t>Apply shared decision-making and motivational interviewing to support client-centered care planning.</w:t>
      </w:r>
    </w:p>
    <w:p w14:paraId="3D7247B3" w14:textId="59E5BE27" w:rsidR="00681C02" w:rsidRPr="00681C02" w:rsidRDefault="00681C02" w:rsidP="00681C02">
      <w:pPr>
        <w:pStyle w:val="ListParagraph"/>
        <w:numPr>
          <w:ilvl w:val="0"/>
          <w:numId w:val="29"/>
        </w:numPr>
        <w:spacing w:after="0"/>
        <w:textAlignment w:val="baseline"/>
        <w:rPr>
          <w:sz w:val="24"/>
          <w:szCs w:val="24"/>
        </w:rPr>
      </w:pPr>
      <w:r w:rsidRPr="00681C02">
        <w:rPr>
          <w:sz w:val="24"/>
          <w:szCs w:val="24"/>
        </w:rPr>
        <w:t>Explain how effective care planning, including client involvement, improves engagement and outcomes.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F608FA" w:rsidRDefault="34F3587B" w:rsidP="075F8738">
      <w:pPr>
        <w:pStyle w:val="ListParagraph"/>
        <w:numPr>
          <w:ilvl w:val="0"/>
          <w:numId w:val="3"/>
        </w:numPr>
        <w:spacing w:after="0"/>
        <w:textAlignment w:val="baseline"/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 xml:space="preserve">Introduction </w:t>
      </w:r>
    </w:p>
    <w:p w14:paraId="30EF3DC8" w14:textId="77777777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Why Care Planning Matters</w:t>
      </w:r>
    </w:p>
    <w:p w14:paraId="6521E5D7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Role in care management</w:t>
      </w:r>
    </w:p>
    <w:p w14:paraId="607B4E2F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Benefits for programs and clients</w:t>
      </w:r>
    </w:p>
    <w:p w14:paraId="75733C2F" w14:textId="2A6C4862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Care Planning vs. Care Plan</w:t>
      </w:r>
    </w:p>
    <w:p w14:paraId="60D8D27B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Key distinction between process and document</w:t>
      </w:r>
    </w:p>
    <w:p w14:paraId="790F98D0" w14:textId="5E624256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Core Components of Care Planning</w:t>
      </w:r>
    </w:p>
    <w:p w14:paraId="6666657C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Identifying needs and goals</w:t>
      </w:r>
    </w:p>
    <w:p w14:paraId="0150450E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Decision-making and service coordination</w:t>
      </w:r>
    </w:p>
    <w:p w14:paraId="7F75D8FD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Roles and responsibilities</w:t>
      </w:r>
    </w:p>
    <w:p w14:paraId="671256DF" w14:textId="00BBC154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Shared Decision-Making</w:t>
      </w:r>
    </w:p>
    <w:p w14:paraId="459BA338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Client and provider roles</w:t>
      </w:r>
    </w:p>
    <w:p w14:paraId="7ED17EFF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Techniques to support collaboration</w:t>
      </w:r>
    </w:p>
    <w:p w14:paraId="4601ECCE" w14:textId="77AEE10E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Applying Care Planning in Practice</w:t>
      </w:r>
    </w:p>
    <w:p w14:paraId="52E67187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Case example (treatment options and decision-making)</w:t>
      </w:r>
    </w:p>
    <w:p w14:paraId="6D9E27F3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Dynamic nature of care planning</w:t>
      </w:r>
    </w:p>
    <w:p w14:paraId="676F824C" w14:textId="6E6C1A1A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Role of Assessments</w:t>
      </w:r>
    </w:p>
    <w:p w14:paraId="3BE6828A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Using assessment data to guide planning</w:t>
      </w:r>
    </w:p>
    <w:p w14:paraId="152AB550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Common vs. ideal practice</w:t>
      </w:r>
    </w:p>
    <w:p w14:paraId="227A74FD" w14:textId="76125EBB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Team-Based Care Planning</w:t>
      </w:r>
    </w:p>
    <w:p w14:paraId="4EE6C6DB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Interdisciplinary roles</w:t>
      </w:r>
    </w:p>
    <w:p w14:paraId="06679B33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lastRenderedPageBreak/>
        <w:t>Integrating information across team members</w:t>
      </w:r>
    </w:p>
    <w:p w14:paraId="4FB9AC9F" w14:textId="5245B376" w:rsidR="00F608FA" w:rsidRPr="00F608FA" w:rsidRDefault="00F608FA" w:rsidP="00F608F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Engagement Strategies (MI)</w:t>
      </w:r>
    </w:p>
    <w:p w14:paraId="21203956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Using motivational interviewing to support care planning</w:t>
      </w:r>
    </w:p>
    <w:p w14:paraId="6C446F75" w14:textId="77777777" w:rsidR="00F608FA" w:rsidRPr="00F608FA" w:rsidRDefault="00F608FA" w:rsidP="00F608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Key skills for engagement</w:t>
      </w:r>
    </w:p>
    <w:p w14:paraId="2E5D607F" w14:textId="28366A79" w:rsidR="3924F1B0" w:rsidRPr="00F608FA" w:rsidRDefault="00E909EC" w:rsidP="001B30F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Key Takeaways</w:t>
      </w:r>
    </w:p>
    <w:p w14:paraId="02C95DC1" w14:textId="327B722F" w:rsidR="0DAAC4EA" w:rsidRPr="00F608FA" w:rsidRDefault="00C93BDB" w:rsidP="00C93BDB">
      <w:pPr>
        <w:pStyle w:val="ListParagraph"/>
        <w:numPr>
          <w:ilvl w:val="0"/>
          <w:numId w:val="3"/>
        </w:numPr>
        <w:spacing w:before="240" w:after="240"/>
        <w:rPr>
          <w:rFonts w:cstheme="minorHAnsi"/>
          <w:sz w:val="24"/>
          <w:szCs w:val="24"/>
        </w:rPr>
      </w:pPr>
      <w:r w:rsidRPr="00F608FA">
        <w:rPr>
          <w:rFonts w:cstheme="minorHAnsi"/>
          <w:sz w:val="24"/>
          <w:szCs w:val="24"/>
        </w:rPr>
        <w:t>Discussion</w:t>
      </w:r>
    </w:p>
    <w:p w14:paraId="4C1FAAF6" w14:textId="51B8A769" w:rsidR="1DB4B423" w:rsidRPr="00A31A41" w:rsidRDefault="50D38730" w:rsidP="0DAAC4EA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A31A41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4C3CE4DE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 xml:space="preserve">Agency for Healthcare Research and Quality [AHRQ] (nd). Patient-Centered Care Plans. Agency for Healthcare Research and Quality. </w:t>
      </w:r>
      <w:hyperlink r:id="rId9" w:tgtFrame="_blank" w:history="1">
        <w:r w:rsidRPr="002A6CE5">
          <w:rPr>
            <w:rStyle w:val="Hyperlink"/>
            <w:rFonts w:cstheme="minorHAnsi"/>
            <w:sz w:val="24"/>
            <w:szCs w:val="24"/>
          </w:rPr>
          <w:t>https://integrationacademy.ahrq.gov/products/playbooks/opioid-use-disorder/implement-mat-for-oud/patient-centered-care-plans</w:t>
        </w:r>
      </w:hyperlink>
      <w:r w:rsidRPr="002A6CE5">
        <w:rPr>
          <w:rFonts w:cstheme="minorHAnsi"/>
          <w:sz w:val="24"/>
          <w:szCs w:val="24"/>
        </w:rPr>
        <w:t>​</w:t>
      </w:r>
    </w:p>
    <w:p w14:paraId="57250272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>Burt, J., Rick, J., Blakeman, T., Protheroe, J., Roland, M., &amp; Bower, P. (2014). Care plans and care planning in long-term conditions: a conceptual model. </w:t>
      </w:r>
      <w:r w:rsidRPr="002A6CE5">
        <w:rPr>
          <w:rFonts w:cstheme="minorHAnsi"/>
          <w:i/>
          <w:iCs/>
          <w:sz w:val="24"/>
          <w:szCs w:val="24"/>
        </w:rPr>
        <w:t>Primary health care research &amp; development</w:t>
      </w:r>
      <w:r w:rsidRPr="002A6CE5">
        <w:rPr>
          <w:rFonts w:cstheme="minorHAnsi"/>
          <w:sz w:val="24"/>
          <w:szCs w:val="24"/>
        </w:rPr>
        <w:t>, </w:t>
      </w:r>
      <w:r w:rsidRPr="002A6CE5">
        <w:rPr>
          <w:rFonts w:cstheme="minorHAnsi"/>
          <w:i/>
          <w:iCs/>
          <w:sz w:val="24"/>
          <w:szCs w:val="24"/>
        </w:rPr>
        <w:t>15</w:t>
      </w:r>
      <w:r w:rsidRPr="002A6CE5">
        <w:rPr>
          <w:rFonts w:cstheme="minorHAnsi"/>
          <w:sz w:val="24"/>
          <w:szCs w:val="24"/>
        </w:rPr>
        <w:t xml:space="preserve">(4), 342–354. </w:t>
      </w:r>
      <w:hyperlink r:id="rId10" w:tgtFrame="_blank" w:history="1">
        <w:r w:rsidRPr="002A6CE5">
          <w:rPr>
            <w:rStyle w:val="Hyperlink"/>
            <w:rFonts w:cstheme="minorHAnsi"/>
            <w:sz w:val="24"/>
            <w:szCs w:val="24"/>
          </w:rPr>
          <w:t>https://doi.org/10.1017/S1463423613000327</w:t>
        </w:r>
      </w:hyperlink>
      <w:r w:rsidRPr="002A6CE5">
        <w:rPr>
          <w:rFonts w:cstheme="minorHAnsi"/>
          <w:sz w:val="24"/>
          <w:szCs w:val="24"/>
        </w:rPr>
        <w:t>​</w:t>
      </w:r>
    </w:p>
    <w:p w14:paraId="41DBBB89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 xml:space="preserve">Case Management Society of America (2016). </w:t>
      </w:r>
      <w:r w:rsidRPr="002A6CE5">
        <w:rPr>
          <w:rFonts w:cstheme="minorHAnsi"/>
          <w:i/>
          <w:iCs/>
          <w:sz w:val="24"/>
          <w:szCs w:val="24"/>
        </w:rPr>
        <w:t>Standards of Practice for Case Management</w:t>
      </w:r>
      <w:r w:rsidRPr="002A6CE5">
        <w:rPr>
          <w:rFonts w:cstheme="minorHAnsi"/>
          <w:sz w:val="24"/>
          <w:szCs w:val="24"/>
        </w:rPr>
        <w:t xml:space="preserve">. American board of quality assurance and utilization review physicians. </w:t>
      </w:r>
      <w:hyperlink r:id="rId11" w:tgtFrame="_blank" w:history="1">
        <w:r w:rsidRPr="002A6CE5">
          <w:rPr>
            <w:rStyle w:val="Hyperlink"/>
            <w:rFonts w:cstheme="minorHAnsi"/>
            <w:sz w:val="24"/>
            <w:szCs w:val="24"/>
          </w:rPr>
          <w:t>https://www.abqaurp.org/DOCS/2016%20CM%20standards%20of%20practice.pdf</w:t>
        </w:r>
      </w:hyperlink>
      <w:r w:rsidRPr="002A6CE5">
        <w:rPr>
          <w:rFonts w:cstheme="minorHAnsi"/>
          <w:sz w:val="24"/>
          <w:szCs w:val="24"/>
        </w:rPr>
        <w:t>​</w:t>
      </w:r>
    </w:p>
    <w:p w14:paraId="25B654BB" w14:textId="77777777" w:rsidR="002A6CE5" w:rsidRPr="002A6CE5" w:rsidRDefault="002A6CE5" w:rsidP="002A6CE5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A6CE5">
        <w:rPr>
          <w:rFonts w:cstheme="minorHAnsi"/>
          <w:sz w:val="24"/>
          <w:szCs w:val="24"/>
        </w:rPr>
        <w:t>Center for Substance Abuse Treatment. (2006). Screening, assessment, and treatment planning for persons with co-occurring disorders: COCE overview paper# 2 (CHHS Publication No. SMA 06-4164). Rockville, MD: Substance Abuse and Mental Health Services Administration. </w:t>
      </w:r>
      <w:r w:rsidRPr="002A6CE5">
        <w:rPr>
          <w:rFonts w:cstheme="minorHAnsi"/>
          <w:i/>
          <w:iCs/>
          <w:sz w:val="24"/>
          <w:szCs w:val="24"/>
        </w:rPr>
        <w:t>and Center for Mental Health Services</w:t>
      </w:r>
      <w:r w:rsidRPr="002A6CE5">
        <w:rPr>
          <w:rFonts w:cstheme="minorHAnsi"/>
          <w:sz w:val="24"/>
          <w:szCs w:val="24"/>
        </w:rPr>
        <w:t>.​</w:t>
      </w:r>
    </w:p>
    <w:p w14:paraId="624BD8A3" w14:textId="18B309BB" w:rsidR="00EC3EF4" w:rsidRPr="00EC3EF4" w:rsidRDefault="002A6CE5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</w:rPr>
      </w:pPr>
      <w:r w:rsidRPr="002A6CE5">
        <w:rPr>
          <w:rFonts w:cstheme="minorHAnsi"/>
          <w:sz w:val="24"/>
          <w:szCs w:val="24"/>
        </w:rPr>
        <w:t>​</w:t>
      </w:r>
      <w:r w:rsidR="00EC3EF4" w:rsidRPr="00EC3EF4">
        <w:rPr>
          <w:rFonts w:ascii="Calibri" w:hAnsi="Calibri" w:cs="Calibri"/>
          <w:color w:val="003594"/>
          <w:sz w:val="36"/>
          <w:szCs w:val="36"/>
        </w:rPr>
        <w:t xml:space="preserve"> </w:t>
      </w:r>
      <w:r w:rsidR="00EC3EF4" w:rsidRPr="00EC3EF4">
        <w:rPr>
          <w:rFonts w:cstheme="minorHAnsi"/>
        </w:rPr>
        <w:t>Coulter, A., Entwistle, V. A., Eccles, A., Ryan, S., Shepperd, S., &amp; Perera, R. (2015). Personalised care planning for adults with chronic or long-term health conditions. </w:t>
      </w:r>
      <w:r w:rsidR="00EC3EF4" w:rsidRPr="00EC3EF4">
        <w:rPr>
          <w:rFonts w:cstheme="minorHAnsi"/>
          <w:i/>
          <w:iCs/>
        </w:rPr>
        <w:t>The Cochrane database of systematic reviews</w:t>
      </w:r>
      <w:r w:rsidR="00EC3EF4" w:rsidRPr="00EC3EF4">
        <w:rPr>
          <w:rFonts w:cstheme="minorHAnsi"/>
        </w:rPr>
        <w:t>, </w:t>
      </w:r>
      <w:r w:rsidR="00EC3EF4" w:rsidRPr="00EC3EF4">
        <w:rPr>
          <w:rFonts w:cstheme="minorHAnsi"/>
          <w:i/>
          <w:iCs/>
        </w:rPr>
        <w:t>2015</w:t>
      </w:r>
      <w:r w:rsidR="00EC3EF4" w:rsidRPr="00EC3EF4">
        <w:rPr>
          <w:rFonts w:cstheme="minorHAnsi"/>
        </w:rPr>
        <w:t xml:space="preserve">(3), CD010523. </w:t>
      </w:r>
      <w:hyperlink r:id="rId12" w:tgtFrame="_blank" w:history="1">
        <w:r w:rsidR="00EC3EF4" w:rsidRPr="00EC3EF4">
          <w:rPr>
            <w:rStyle w:val="Hyperlink"/>
            <w:rFonts w:cstheme="minorHAnsi"/>
          </w:rPr>
          <w:t>https://doi.org/10.1002/14651858.CD010523.pub2</w:t>
        </w:r>
      </w:hyperlink>
      <w:r w:rsidR="00EC3EF4" w:rsidRPr="00EC3EF4">
        <w:rPr>
          <w:rFonts w:cstheme="minorHAnsi"/>
        </w:rPr>
        <w:t>​</w:t>
      </w:r>
    </w:p>
    <w:p w14:paraId="12C2E2A6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>Mancini, M. (2012). Assessment Strategies for Substance Use Disorders. In </w:t>
      </w:r>
      <w:r w:rsidRPr="00EC3EF4">
        <w:rPr>
          <w:rFonts w:cstheme="minorHAnsi"/>
          <w:i/>
          <w:iCs/>
          <w:sz w:val="24"/>
          <w:szCs w:val="24"/>
        </w:rPr>
        <w:t>Social Work Practice in the Addictions</w:t>
      </w:r>
      <w:r w:rsidRPr="00EC3EF4">
        <w:rPr>
          <w:rFonts w:cstheme="minorHAnsi"/>
          <w:sz w:val="24"/>
          <w:szCs w:val="24"/>
        </w:rPr>
        <w:t> (pp. 49-71). New York, NY: Springer New York.​</w:t>
      </w:r>
    </w:p>
    <w:p w14:paraId="597DB054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>Park, S. E., Mosley, J. E., Grogan, C. M., Pollack, H. A., Humphreys, K., D'Aunno, T., &amp; Friedmann, P. D. (2020). Patient-centered care's relationship with substance use disorder treatment utilization. </w:t>
      </w:r>
      <w:r w:rsidRPr="00EC3EF4">
        <w:rPr>
          <w:rFonts w:cstheme="minorHAnsi"/>
          <w:i/>
          <w:iCs/>
          <w:sz w:val="24"/>
          <w:szCs w:val="24"/>
        </w:rPr>
        <w:t>Journal of substance abuse treatment</w:t>
      </w:r>
      <w:r w:rsidRPr="00EC3EF4">
        <w:rPr>
          <w:rFonts w:cstheme="minorHAnsi"/>
          <w:sz w:val="24"/>
          <w:szCs w:val="24"/>
        </w:rPr>
        <w:t>, </w:t>
      </w:r>
      <w:r w:rsidRPr="00EC3EF4">
        <w:rPr>
          <w:rFonts w:cstheme="minorHAnsi"/>
          <w:i/>
          <w:iCs/>
          <w:sz w:val="24"/>
          <w:szCs w:val="24"/>
        </w:rPr>
        <w:t>118</w:t>
      </w:r>
      <w:r w:rsidRPr="00EC3EF4">
        <w:rPr>
          <w:rFonts w:cstheme="minorHAnsi"/>
          <w:sz w:val="24"/>
          <w:szCs w:val="24"/>
        </w:rPr>
        <w:t>, 108125.​</w:t>
      </w:r>
    </w:p>
    <w:p w14:paraId="45E25EEE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 xml:space="preserve">Pennsylvania Department of Human Services (2021). </w:t>
      </w:r>
      <w:r w:rsidRPr="00EC3EF4">
        <w:rPr>
          <w:rFonts w:cstheme="minorHAnsi"/>
          <w:i/>
          <w:iCs/>
          <w:sz w:val="24"/>
          <w:szCs w:val="24"/>
        </w:rPr>
        <w:t>Centers of Excellence Resource Guide</w:t>
      </w:r>
      <w:r w:rsidRPr="00EC3EF4">
        <w:rPr>
          <w:rFonts w:cstheme="minorHAnsi"/>
          <w:sz w:val="24"/>
          <w:szCs w:val="24"/>
        </w:rPr>
        <w:t xml:space="preserve">. Centers of Excellence. </w:t>
      </w:r>
      <w:hyperlink r:id="rId13" w:tgtFrame="_blank" w:history="1">
        <w:r w:rsidRPr="00EC3EF4">
          <w:rPr>
            <w:rStyle w:val="Hyperlink"/>
            <w:rFonts w:cstheme="minorHAnsi"/>
            <w:sz w:val="24"/>
            <w:szCs w:val="24"/>
          </w:rPr>
          <w:t>https://www.pa.gov/content/dam/copapwp-pagov/en/dhs/documents/services/assistance/documents/COE%20Resource%20Guide_20210415_v1-3.pdf</w:t>
        </w:r>
      </w:hyperlink>
      <w:r w:rsidRPr="00EC3EF4">
        <w:rPr>
          <w:rFonts w:cstheme="minorHAnsi"/>
          <w:sz w:val="24"/>
          <w:szCs w:val="24"/>
        </w:rPr>
        <w:t>​</w:t>
      </w:r>
    </w:p>
    <w:p w14:paraId="754FB4D6" w14:textId="3C3750A9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</w:rPr>
      </w:pPr>
      <w:r w:rsidRPr="00EC3EF4">
        <w:rPr>
          <w:rFonts w:cstheme="minorHAnsi"/>
          <w:sz w:val="24"/>
          <w:szCs w:val="24"/>
        </w:rPr>
        <w:t>​</w:t>
      </w:r>
      <w:r w:rsidRPr="00EC3EF4">
        <w:rPr>
          <w:rFonts w:ascii="Calibri" w:hAnsi="Calibri" w:cs="Calibri"/>
          <w:color w:val="003594"/>
          <w:sz w:val="36"/>
          <w:szCs w:val="36"/>
        </w:rPr>
        <w:t xml:space="preserve"> </w:t>
      </w:r>
      <w:r w:rsidRPr="00EC3EF4">
        <w:rPr>
          <w:rFonts w:cstheme="minorHAnsi"/>
        </w:rPr>
        <w:t>Ross, S., Curry, N., &amp; Goodwin, N. (2011). Case management. </w:t>
      </w:r>
      <w:r w:rsidRPr="00EC3EF4">
        <w:rPr>
          <w:rFonts w:cstheme="minorHAnsi"/>
          <w:i/>
          <w:iCs/>
        </w:rPr>
        <w:t>What it is and how it can best be implemented. London: The King's Fund</w:t>
      </w:r>
      <w:r w:rsidRPr="00EC3EF4">
        <w:rPr>
          <w:rFonts w:cstheme="minorHAnsi"/>
        </w:rPr>
        <w:t>.​</w:t>
      </w:r>
    </w:p>
    <w:p w14:paraId="0DD97533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 xml:space="preserve">Substance Abuse and Mental Health Services Administration (SAMHSA). (2015). TIP 27: Comprehensive Case Management for Substance Abuse Treatment [Treatment Improvement Protocol Series]. Retrieved from </w:t>
      </w:r>
      <w:hyperlink r:id="rId14" w:tgtFrame="_blank" w:history="1">
        <w:r w:rsidRPr="00EC3EF4">
          <w:rPr>
            <w:rStyle w:val="Hyperlink"/>
            <w:rFonts w:cstheme="minorHAnsi"/>
            <w:sz w:val="24"/>
            <w:szCs w:val="24"/>
          </w:rPr>
          <w:t>https://store.samhsa.gov/product/tip-27-comprehensive-case-management-substance-abuse-treatment/sma15-4215</w:t>
        </w:r>
      </w:hyperlink>
      <w:r w:rsidRPr="00EC3EF4">
        <w:rPr>
          <w:rFonts w:cstheme="minorHAnsi"/>
          <w:sz w:val="24"/>
          <w:szCs w:val="24"/>
        </w:rPr>
        <w:t>​</w:t>
      </w:r>
    </w:p>
    <w:p w14:paraId="6A71D7F4" w14:textId="77777777" w:rsidR="00EC3EF4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lastRenderedPageBreak/>
        <w:t>Tahan, H. A. (2002). A ten-step process to develop case management plans. </w:t>
      </w:r>
      <w:r w:rsidRPr="00EC3EF4">
        <w:rPr>
          <w:rFonts w:cstheme="minorHAnsi"/>
          <w:i/>
          <w:iCs/>
          <w:sz w:val="24"/>
          <w:szCs w:val="24"/>
        </w:rPr>
        <w:t>Professional Case Management</w:t>
      </w:r>
      <w:r w:rsidRPr="00EC3EF4">
        <w:rPr>
          <w:rFonts w:cstheme="minorHAnsi"/>
          <w:sz w:val="24"/>
          <w:szCs w:val="24"/>
        </w:rPr>
        <w:t>, </w:t>
      </w:r>
      <w:r w:rsidRPr="00EC3EF4">
        <w:rPr>
          <w:rFonts w:cstheme="minorHAnsi"/>
          <w:i/>
          <w:iCs/>
          <w:sz w:val="24"/>
          <w:szCs w:val="24"/>
        </w:rPr>
        <w:t>7</w:t>
      </w:r>
      <w:r w:rsidRPr="00EC3EF4">
        <w:rPr>
          <w:rFonts w:cstheme="minorHAnsi"/>
          <w:sz w:val="24"/>
          <w:szCs w:val="24"/>
        </w:rPr>
        <w:t>(6), 231-242.​</w:t>
      </w:r>
    </w:p>
    <w:p w14:paraId="75035771" w14:textId="1ED6C743" w:rsidR="075F8738" w:rsidRPr="00EC3EF4" w:rsidRDefault="00EC3EF4" w:rsidP="00EC3EF4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EC3EF4">
        <w:rPr>
          <w:rFonts w:cstheme="minorHAnsi"/>
          <w:sz w:val="24"/>
          <w:szCs w:val="24"/>
        </w:rPr>
        <w:t xml:space="preserve">Theodorou, M. E., Henschen, B. L., &amp; Chapman, M. (2020). The Comprehensive Care Plan: A Patient-Centered, Multidisciplinary Communication Tool for Frequently Hospitalized Patients. Joint Commission journal on quality and patient safety, 46(4), 217–226. </w:t>
      </w:r>
      <w:hyperlink r:id="rId15" w:tgtFrame="_blank" w:history="1">
        <w:r w:rsidRPr="00EC3EF4">
          <w:rPr>
            <w:rStyle w:val="Hyperlink"/>
            <w:rFonts w:cstheme="minorHAnsi"/>
            <w:sz w:val="24"/>
            <w:szCs w:val="24"/>
          </w:rPr>
          <w:t>https://doi.org/10.1016/j.jcjq.2020.01.002</w:t>
        </w:r>
      </w:hyperlink>
      <w:r w:rsidRPr="00EC3EF4">
        <w:rPr>
          <w:rFonts w:cstheme="minorHAnsi"/>
          <w:sz w:val="24"/>
          <w:szCs w:val="24"/>
        </w:rPr>
        <w:t>​</w:t>
      </w:r>
    </w:p>
    <w:sectPr w:rsidR="075F8738" w:rsidRPr="00EC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AF0"/>
    <w:multiLevelType w:val="multilevel"/>
    <w:tmpl w:val="7A9E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54C01"/>
    <w:multiLevelType w:val="multilevel"/>
    <w:tmpl w:val="F98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71B"/>
    <w:multiLevelType w:val="multilevel"/>
    <w:tmpl w:val="B04A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C5468"/>
    <w:multiLevelType w:val="multilevel"/>
    <w:tmpl w:val="9D9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34896"/>
    <w:multiLevelType w:val="multilevel"/>
    <w:tmpl w:val="BF3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47659"/>
    <w:multiLevelType w:val="hybridMultilevel"/>
    <w:tmpl w:val="2E68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4A14"/>
    <w:multiLevelType w:val="multilevel"/>
    <w:tmpl w:val="489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00BF3"/>
    <w:multiLevelType w:val="hybridMultilevel"/>
    <w:tmpl w:val="13E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C019D"/>
    <w:multiLevelType w:val="multilevel"/>
    <w:tmpl w:val="2DD6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DA5887"/>
    <w:multiLevelType w:val="multilevel"/>
    <w:tmpl w:val="D6C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500917"/>
    <w:multiLevelType w:val="hybridMultilevel"/>
    <w:tmpl w:val="DE96D44C"/>
    <w:lvl w:ilvl="0" w:tplc="2D9401A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01B61"/>
    <w:multiLevelType w:val="multilevel"/>
    <w:tmpl w:val="3AD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C1D"/>
    <w:multiLevelType w:val="multilevel"/>
    <w:tmpl w:val="5E3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D0527"/>
    <w:multiLevelType w:val="multilevel"/>
    <w:tmpl w:val="B42A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F3004"/>
    <w:multiLevelType w:val="multilevel"/>
    <w:tmpl w:val="9DF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60A16"/>
    <w:multiLevelType w:val="multilevel"/>
    <w:tmpl w:val="45C8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F6DFA"/>
    <w:multiLevelType w:val="multilevel"/>
    <w:tmpl w:val="D8E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44F26"/>
    <w:multiLevelType w:val="hybridMultilevel"/>
    <w:tmpl w:val="38661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2F60D4"/>
    <w:multiLevelType w:val="hybridMultilevel"/>
    <w:tmpl w:val="EFD2F68A"/>
    <w:lvl w:ilvl="0" w:tplc="30383DBC">
      <w:start w:val="3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122348"/>
    <w:multiLevelType w:val="multilevel"/>
    <w:tmpl w:val="8FA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165AD"/>
    <w:multiLevelType w:val="multilevel"/>
    <w:tmpl w:val="C0D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3F1BAD"/>
    <w:multiLevelType w:val="multilevel"/>
    <w:tmpl w:val="0A0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370B3"/>
    <w:multiLevelType w:val="hybridMultilevel"/>
    <w:tmpl w:val="CF48B3DE"/>
    <w:lvl w:ilvl="0" w:tplc="30383DBC">
      <w:start w:val="3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46E5D"/>
    <w:multiLevelType w:val="multilevel"/>
    <w:tmpl w:val="6F5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CF23AF"/>
    <w:multiLevelType w:val="multilevel"/>
    <w:tmpl w:val="38D6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787FAC"/>
    <w:multiLevelType w:val="multilevel"/>
    <w:tmpl w:val="62B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F808A0"/>
    <w:multiLevelType w:val="multilevel"/>
    <w:tmpl w:val="19C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B678D"/>
    <w:multiLevelType w:val="multilevel"/>
    <w:tmpl w:val="D8F8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A648B"/>
    <w:multiLevelType w:val="hybridMultilevel"/>
    <w:tmpl w:val="A8A8C64C"/>
    <w:lvl w:ilvl="0" w:tplc="F186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C5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A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44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A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C3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E1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2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80317"/>
    <w:multiLevelType w:val="multilevel"/>
    <w:tmpl w:val="6CC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226640"/>
    <w:multiLevelType w:val="multilevel"/>
    <w:tmpl w:val="BF4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DA562B"/>
    <w:multiLevelType w:val="hybridMultilevel"/>
    <w:tmpl w:val="68B2CC98"/>
    <w:lvl w:ilvl="0" w:tplc="2D9401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0988">
    <w:abstractNumId w:val="33"/>
  </w:num>
  <w:num w:numId="2" w16cid:durableId="1977904145">
    <w:abstractNumId w:val="26"/>
  </w:num>
  <w:num w:numId="3" w16cid:durableId="1604535445">
    <w:abstractNumId w:val="13"/>
  </w:num>
  <w:num w:numId="4" w16cid:durableId="543834948">
    <w:abstractNumId w:val="15"/>
  </w:num>
  <w:num w:numId="5" w16cid:durableId="179052266">
    <w:abstractNumId w:val="9"/>
  </w:num>
  <w:num w:numId="6" w16cid:durableId="1359509561">
    <w:abstractNumId w:val="10"/>
  </w:num>
  <w:num w:numId="7" w16cid:durableId="1464034277">
    <w:abstractNumId w:val="5"/>
  </w:num>
  <w:num w:numId="8" w16cid:durableId="531457754">
    <w:abstractNumId w:val="36"/>
  </w:num>
  <w:num w:numId="9" w16cid:durableId="2003926519">
    <w:abstractNumId w:val="12"/>
  </w:num>
  <w:num w:numId="10" w16cid:durableId="2035614564">
    <w:abstractNumId w:val="35"/>
  </w:num>
  <w:num w:numId="11" w16cid:durableId="160245493">
    <w:abstractNumId w:val="18"/>
  </w:num>
  <w:num w:numId="12" w16cid:durableId="1118404605">
    <w:abstractNumId w:val="20"/>
  </w:num>
  <w:num w:numId="13" w16cid:durableId="467867244">
    <w:abstractNumId w:val="23"/>
  </w:num>
  <w:num w:numId="14" w16cid:durableId="1349874041">
    <w:abstractNumId w:val="28"/>
  </w:num>
  <w:num w:numId="15" w16cid:durableId="1375109025">
    <w:abstractNumId w:val="32"/>
  </w:num>
  <w:num w:numId="16" w16cid:durableId="1327246872">
    <w:abstractNumId w:val="3"/>
  </w:num>
  <w:num w:numId="17" w16cid:durableId="1379087945">
    <w:abstractNumId w:val="2"/>
  </w:num>
  <w:num w:numId="18" w16cid:durableId="756902143">
    <w:abstractNumId w:val="16"/>
  </w:num>
  <w:num w:numId="19" w16cid:durableId="1854101882">
    <w:abstractNumId w:val="17"/>
  </w:num>
  <w:num w:numId="20" w16cid:durableId="1129325682">
    <w:abstractNumId w:val="25"/>
  </w:num>
  <w:num w:numId="21" w16cid:durableId="871185575">
    <w:abstractNumId w:val="30"/>
  </w:num>
  <w:num w:numId="22" w16cid:durableId="1107509317">
    <w:abstractNumId w:val="0"/>
  </w:num>
  <w:num w:numId="23" w16cid:durableId="1186943491">
    <w:abstractNumId w:val="24"/>
  </w:num>
  <w:num w:numId="24" w16cid:durableId="960265784">
    <w:abstractNumId w:val="11"/>
  </w:num>
  <w:num w:numId="25" w16cid:durableId="1077901420">
    <w:abstractNumId w:val="4"/>
  </w:num>
  <w:num w:numId="26" w16cid:durableId="1685284043">
    <w:abstractNumId w:val="7"/>
  </w:num>
  <w:num w:numId="27" w16cid:durableId="595287126">
    <w:abstractNumId w:val="27"/>
  </w:num>
  <w:num w:numId="28" w16cid:durableId="1166824965">
    <w:abstractNumId w:val="22"/>
  </w:num>
  <w:num w:numId="29" w16cid:durableId="398674796">
    <w:abstractNumId w:val="21"/>
  </w:num>
  <w:num w:numId="30" w16cid:durableId="1905410099">
    <w:abstractNumId w:val="19"/>
  </w:num>
  <w:num w:numId="31" w16cid:durableId="202795292">
    <w:abstractNumId w:val="14"/>
  </w:num>
  <w:num w:numId="32" w16cid:durableId="1986355602">
    <w:abstractNumId w:val="6"/>
  </w:num>
  <w:num w:numId="33" w16cid:durableId="1343509168">
    <w:abstractNumId w:val="34"/>
  </w:num>
  <w:num w:numId="34" w16cid:durableId="723679707">
    <w:abstractNumId w:val="31"/>
  </w:num>
  <w:num w:numId="35" w16cid:durableId="697898554">
    <w:abstractNumId w:val="8"/>
  </w:num>
  <w:num w:numId="36" w16cid:durableId="151989750">
    <w:abstractNumId w:val="29"/>
  </w:num>
  <w:num w:numId="37" w16cid:durableId="14518969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0F6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5425C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A6CE5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2F3267"/>
    <w:rsid w:val="00302603"/>
    <w:rsid w:val="0030458E"/>
    <w:rsid w:val="00306906"/>
    <w:rsid w:val="00310603"/>
    <w:rsid w:val="00314033"/>
    <w:rsid w:val="00314A6F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91615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1C02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31016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9FB22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24FFE"/>
    <w:rsid w:val="00931E8A"/>
    <w:rsid w:val="009338C8"/>
    <w:rsid w:val="00943FDF"/>
    <w:rsid w:val="00944A6E"/>
    <w:rsid w:val="00951C75"/>
    <w:rsid w:val="009560B4"/>
    <w:rsid w:val="0096551B"/>
    <w:rsid w:val="0096696A"/>
    <w:rsid w:val="00986460"/>
    <w:rsid w:val="00986CF0"/>
    <w:rsid w:val="00991629"/>
    <w:rsid w:val="00995086"/>
    <w:rsid w:val="0099569F"/>
    <w:rsid w:val="009B7A9B"/>
    <w:rsid w:val="009C01CD"/>
    <w:rsid w:val="009C3884"/>
    <w:rsid w:val="009C3E27"/>
    <w:rsid w:val="009E3338"/>
    <w:rsid w:val="009E4FD9"/>
    <w:rsid w:val="009E58EB"/>
    <w:rsid w:val="009E64D4"/>
    <w:rsid w:val="00A01D58"/>
    <w:rsid w:val="00A037AC"/>
    <w:rsid w:val="00A17C11"/>
    <w:rsid w:val="00A22B47"/>
    <w:rsid w:val="00A24E46"/>
    <w:rsid w:val="00A31A41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1712"/>
    <w:rsid w:val="00A669D9"/>
    <w:rsid w:val="00A67273"/>
    <w:rsid w:val="00A70F4D"/>
    <w:rsid w:val="00A75338"/>
    <w:rsid w:val="00A8103C"/>
    <w:rsid w:val="00A81306"/>
    <w:rsid w:val="00A831E2"/>
    <w:rsid w:val="00A861C4"/>
    <w:rsid w:val="00AB1335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669E5"/>
    <w:rsid w:val="00B74B9E"/>
    <w:rsid w:val="00B74CDF"/>
    <w:rsid w:val="00B77DC1"/>
    <w:rsid w:val="00B77ED7"/>
    <w:rsid w:val="00B8128D"/>
    <w:rsid w:val="00B81A8E"/>
    <w:rsid w:val="00B8226F"/>
    <w:rsid w:val="00B86A74"/>
    <w:rsid w:val="00B9242C"/>
    <w:rsid w:val="00B92C68"/>
    <w:rsid w:val="00B950F6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0A6"/>
    <w:rsid w:val="00BE44A9"/>
    <w:rsid w:val="00BE5F5E"/>
    <w:rsid w:val="00BF2792"/>
    <w:rsid w:val="00BF4012"/>
    <w:rsid w:val="00BF509F"/>
    <w:rsid w:val="00C053B4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406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97AC0"/>
    <w:rsid w:val="00DA0B51"/>
    <w:rsid w:val="00DA5304"/>
    <w:rsid w:val="00DB1657"/>
    <w:rsid w:val="00DB4A3A"/>
    <w:rsid w:val="00DB6660"/>
    <w:rsid w:val="00DB7817"/>
    <w:rsid w:val="00DC6DB6"/>
    <w:rsid w:val="00DD0A49"/>
    <w:rsid w:val="00DD39DB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873AD"/>
    <w:rsid w:val="00E909EC"/>
    <w:rsid w:val="00E90B61"/>
    <w:rsid w:val="00E91DD3"/>
    <w:rsid w:val="00E924E7"/>
    <w:rsid w:val="00E96D93"/>
    <w:rsid w:val="00EB012B"/>
    <w:rsid w:val="00EB43F4"/>
    <w:rsid w:val="00EC3E33"/>
    <w:rsid w:val="00EC3EF4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4CFD"/>
    <w:rsid w:val="00F35016"/>
    <w:rsid w:val="00F43CCF"/>
    <w:rsid w:val="00F458EF"/>
    <w:rsid w:val="00F513B2"/>
    <w:rsid w:val="00F52D6F"/>
    <w:rsid w:val="00F567A5"/>
    <w:rsid w:val="00F608FA"/>
    <w:rsid w:val="00F618DC"/>
    <w:rsid w:val="00F61ADA"/>
    <w:rsid w:val="00F7076F"/>
    <w:rsid w:val="00F71E58"/>
    <w:rsid w:val="00F72701"/>
    <w:rsid w:val="00F7407B"/>
    <w:rsid w:val="00F74531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F3DD03"/>
    <w:rsid w:val="0228D9F0"/>
    <w:rsid w:val="0278BD9B"/>
    <w:rsid w:val="02DBB74A"/>
    <w:rsid w:val="0359EE64"/>
    <w:rsid w:val="038760C6"/>
    <w:rsid w:val="038D1F75"/>
    <w:rsid w:val="03A6789B"/>
    <w:rsid w:val="0418DC5D"/>
    <w:rsid w:val="0427FC35"/>
    <w:rsid w:val="047787AB"/>
    <w:rsid w:val="04B64773"/>
    <w:rsid w:val="05B6060A"/>
    <w:rsid w:val="0682E37C"/>
    <w:rsid w:val="06977F9B"/>
    <w:rsid w:val="0708EB1D"/>
    <w:rsid w:val="0721A78F"/>
    <w:rsid w:val="07258104"/>
    <w:rsid w:val="072EF7DE"/>
    <w:rsid w:val="075F8738"/>
    <w:rsid w:val="07A9DAF5"/>
    <w:rsid w:val="07DBFEE0"/>
    <w:rsid w:val="08986E24"/>
    <w:rsid w:val="090F1D5D"/>
    <w:rsid w:val="0941B699"/>
    <w:rsid w:val="097D9F24"/>
    <w:rsid w:val="09F3B5D9"/>
    <w:rsid w:val="0A0262AC"/>
    <w:rsid w:val="0A30A60A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1718C4C"/>
    <w:rsid w:val="120413F8"/>
    <w:rsid w:val="1228B7C3"/>
    <w:rsid w:val="140F4D7A"/>
    <w:rsid w:val="144391F2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3EBE9"/>
    <w:rsid w:val="1FB735BF"/>
    <w:rsid w:val="1FEFDD42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6E0B8C"/>
    <w:rsid w:val="249525FA"/>
    <w:rsid w:val="249B4485"/>
    <w:rsid w:val="249C4660"/>
    <w:rsid w:val="24B59AEC"/>
    <w:rsid w:val="258E4A91"/>
    <w:rsid w:val="26140D7C"/>
    <w:rsid w:val="2654DE10"/>
    <w:rsid w:val="2691CD35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79E993"/>
    <w:rsid w:val="2A912016"/>
    <w:rsid w:val="2AA40B5B"/>
    <w:rsid w:val="2B370A71"/>
    <w:rsid w:val="2B7EACF2"/>
    <w:rsid w:val="2B854F72"/>
    <w:rsid w:val="2BD4AB35"/>
    <w:rsid w:val="2D3E8F2C"/>
    <w:rsid w:val="2D4FC824"/>
    <w:rsid w:val="2E034701"/>
    <w:rsid w:val="2F254C1B"/>
    <w:rsid w:val="2F37546A"/>
    <w:rsid w:val="2FA3BD1B"/>
    <w:rsid w:val="2FF7FAF2"/>
    <w:rsid w:val="301285C5"/>
    <w:rsid w:val="318500C7"/>
    <w:rsid w:val="31F5785D"/>
    <w:rsid w:val="32FC2091"/>
    <w:rsid w:val="33BD96FE"/>
    <w:rsid w:val="33C694BD"/>
    <w:rsid w:val="33F8BD3E"/>
    <w:rsid w:val="33FB9944"/>
    <w:rsid w:val="34ACAF9A"/>
    <w:rsid w:val="34BED915"/>
    <w:rsid w:val="34F3587B"/>
    <w:rsid w:val="354E66F5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24F1B0"/>
    <w:rsid w:val="399506C8"/>
    <w:rsid w:val="39F35BAD"/>
    <w:rsid w:val="3A3D7F8B"/>
    <w:rsid w:val="3A7631F8"/>
    <w:rsid w:val="3A91E82F"/>
    <w:rsid w:val="3AEDB3F0"/>
    <w:rsid w:val="3BB6D307"/>
    <w:rsid w:val="3CA5E29C"/>
    <w:rsid w:val="3D030865"/>
    <w:rsid w:val="3D35D905"/>
    <w:rsid w:val="3E337893"/>
    <w:rsid w:val="3E6139F6"/>
    <w:rsid w:val="3EF3123D"/>
    <w:rsid w:val="3F09AC0B"/>
    <w:rsid w:val="4018E681"/>
    <w:rsid w:val="4048BDAD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0F968D"/>
    <w:rsid w:val="4AC699EC"/>
    <w:rsid w:val="4AC6FADC"/>
    <w:rsid w:val="4B0E6961"/>
    <w:rsid w:val="4B1C778E"/>
    <w:rsid w:val="4D4B3429"/>
    <w:rsid w:val="4D9D63E8"/>
    <w:rsid w:val="4E4A307D"/>
    <w:rsid w:val="4E9339EA"/>
    <w:rsid w:val="4F92BA46"/>
    <w:rsid w:val="4FB74B53"/>
    <w:rsid w:val="5066219B"/>
    <w:rsid w:val="50D38730"/>
    <w:rsid w:val="51745AAB"/>
    <w:rsid w:val="51A501A0"/>
    <w:rsid w:val="51B5158C"/>
    <w:rsid w:val="52476E39"/>
    <w:rsid w:val="525F5E1D"/>
    <w:rsid w:val="52BBAA73"/>
    <w:rsid w:val="5434476B"/>
    <w:rsid w:val="54906C2C"/>
    <w:rsid w:val="55259F59"/>
    <w:rsid w:val="561AECB1"/>
    <w:rsid w:val="56B4BF6D"/>
    <w:rsid w:val="57E3B5FA"/>
    <w:rsid w:val="57F4105D"/>
    <w:rsid w:val="5818A783"/>
    <w:rsid w:val="58669B8C"/>
    <w:rsid w:val="59981657"/>
    <w:rsid w:val="5AA6A2FB"/>
    <w:rsid w:val="5AFFADB0"/>
    <w:rsid w:val="5B44A5F1"/>
    <w:rsid w:val="5B536622"/>
    <w:rsid w:val="5B601EEA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5FC560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C51DD7"/>
    <w:rsid w:val="64DBDF97"/>
    <w:rsid w:val="64EB5FFE"/>
    <w:rsid w:val="6592E70F"/>
    <w:rsid w:val="665B5538"/>
    <w:rsid w:val="665E4557"/>
    <w:rsid w:val="674A1340"/>
    <w:rsid w:val="675597D2"/>
    <w:rsid w:val="682328F9"/>
    <w:rsid w:val="68E4FF82"/>
    <w:rsid w:val="69422961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5BB82A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BEDAFBB"/>
    <w:rsid w:val="7C16CF11"/>
    <w:rsid w:val="7C8D6340"/>
    <w:rsid w:val="7CC15B74"/>
    <w:rsid w:val="7D04A9C7"/>
    <w:rsid w:val="7DAFB8FC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909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.gov/content/dam/copapwp-pagov/en/dhs/documents/services/assistance/documents/COE%20Resource%20Guide_20210415_v1-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2/14651858.CD010523.pub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qaurp.org/DOCS/2016%20CM%20standards%20of%20practic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6/j.jcjq.2020.01.002" TargetMode="External"/><Relationship Id="rId10" Type="http://schemas.openxmlformats.org/officeDocument/2006/relationships/hyperlink" Target="https://doi.org/10.1017/S14634236130003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tegrationacademy.ahrq.gov/products/playbooks/opioid-use-disorder/implement-mat-for-oud/patient-centered-care-plans" TargetMode="External"/><Relationship Id="rId14" Type="http://schemas.openxmlformats.org/officeDocument/2006/relationships/hyperlink" Target="https://store.samhsa.gov/product/tip-27-comprehensive-case-management-substance-abuse-treatment/sma15-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P2A3NJ5CMAVY-993345139-48955</_dlc_DocId>
    <_dlc_DocIdUrl xmlns="e2a3c3e7-7426-4151-8c50-1673f5abcf0a">
      <Url>https://pitt.sharepoint.com/sites/PERU.CHI/_layouts/15/DocIdRedir.aspx?ID=P2A3NJ5CMAVY-993345139-48955</Url>
      <Description>P2A3NJ5CMAVY-993345139-48955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7280A14-0358-4456-BC7A-5D444C4F4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798</Words>
  <Characters>4553</Characters>
  <Application>Microsoft Office Word</Application>
  <DocSecurity>0</DocSecurity>
  <Lines>37</Lines>
  <Paragraphs>10</Paragraphs>
  <ScaleCrop>false</ScaleCrop>
  <Company>University of Pittsburgh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3</cp:revision>
  <dcterms:created xsi:type="dcterms:W3CDTF">2026-03-19T13:53:00Z</dcterms:created>
  <dcterms:modified xsi:type="dcterms:W3CDTF">2026-04-06T17:22:00Z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32dbaf58-45de-42da-b09c-1f3e90550994</vt:lpwstr>
  </property>
</Properties>
</file>