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21F374E6" w:rsidR="665B5538" w:rsidRDefault="04B64773" w:rsidP="00F63C9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0F63C9C">
        <w:rPr>
          <w:rFonts w:asciiTheme="minorHAnsi" w:eastAsiaTheme="minorEastAsia" w:hAnsiTheme="minorHAnsi" w:cstheme="minorBidi"/>
        </w:rPr>
        <w:t xml:space="preserve"> Retention Strategies</w:t>
      </w:r>
    </w:p>
    <w:p w14:paraId="01111EBA" w14:textId="6EE93158" w:rsidR="00693505" w:rsidRPr="00F90BD6" w:rsidRDefault="19B52EC9" w:rsidP="00044000">
      <w:pPr>
        <w:pStyle w:val="paragraph"/>
        <w:spacing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9F37516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="70EF963E" w:rsidRPr="39F37516">
        <w:rPr>
          <w:rFonts w:asciiTheme="minorHAnsi" w:eastAsiaTheme="minorEastAsia" w:hAnsiTheme="minorHAnsi" w:cstheme="minorBidi"/>
        </w:rPr>
        <w:t xml:space="preserve"> </w:t>
      </w:r>
      <w:r w:rsidR="52212008" w:rsidRPr="00044000">
        <w:rPr>
          <w:rFonts w:asciiTheme="minorHAnsi" w:eastAsiaTheme="minorEastAsia" w:hAnsiTheme="minorHAnsi" w:cstheme="minorHAnsi"/>
        </w:rPr>
        <w:t>Shiryl Barto</w:t>
      </w:r>
      <w:r w:rsidR="00044000" w:rsidRPr="00044000">
        <w:rPr>
          <w:rFonts w:asciiTheme="minorHAnsi" w:eastAsiaTheme="minorEastAsia" w:hAnsiTheme="minorHAnsi" w:cstheme="minorHAnsi"/>
        </w:rPr>
        <w:t xml:space="preserve">, </w:t>
      </w:r>
      <w:r w:rsidR="00044000" w:rsidRPr="00044000">
        <w:rPr>
          <w:rFonts w:asciiTheme="minorHAnsi" w:eastAsiaTheme="minorEastAsia" w:hAnsiTheme="minorHAnsi" w:cstheme="minorHAnsi"/>
        </w:rPr>
        <w:t>M.Ed.</w:t>
      </w:r>
      <w:r w:rsidR="00044000" w:rsidRPr="00044000">
        <w:rPr>
          <w:rFonts w:asciiTheme="minorHAnsi" w:eastAsiaTheme="minorEastAsia" w:hAnsiTheme="minorHAnsi" w:cstheme="minorHAnsi"/>
        </w:rPr>
        <w:t xml:space="preserve">, </w:t>
      </w:r>
      <w:r w:rsidR="00044000" w:rsidRPr="00044000">
        <w:rPr>
          <w:rFonts w:asciiTheme="minorHAnsi" w:eastAsiaTheme="minorEastAsia" w:hAnsiTheme="minorHAnsi" w:cstheme="minorHAnsi"/>
        </w:rPr>
        <w:t>Associate Program Implementation Specialist</w:t>
      </w:r>
      <w:r w:rsidR="52212008" w:rsidRPr="00044000">
        <w:rPr>
          <w:rFonts w:asciiTheme="minorHAnsi" w:eastAsiaTheme="minorEastAsia" w:hAnsiTheme="minorHAnsi" w:cstheme="minorHAnsi"/>
        </w:rPr>
        <w:t>; Georgie Scott</w:t>
      </w:r>
      <w:r w:rsidR="00CF652B" w:rsidRPr="00044000">
        <w:rPr>
          <w:rFonts w:asciiTheme="minorHAnsi" w:eastAsiaTheme="minorEastAsia" w:hAnsiTheme="minorHAnsi" w:cstheme="minorHAnsi"/>
        </w:rPr>
        <w:t xml:space="preserve">, </w:t>
      </w:r>
      <w:r w:rsidR="00044000">
        <w:rPr>
          <w:rFonts w:asciiTheme="minorHAnsi" w:eastAsiaTheme="minorEastAsia" w:hAnsiTheme="minorHAnsi" w:cstheme="minorHAnsi"/>
        </w:rPr>
        <w:t xml:space="preserve">MPH, </w:t>
      </w:r>
      <w:r w:rsidR="00044000" w:rsidRPr="00044000">
        <w:rPr>
          <w:rFonts w:asciiTheme="minorHAnsi" w:eastAsiaTheme="minorEastAsia" w:hAnsiTheme="minorHAnsi" w:cstheme="minorHAnsi"/>
        </w:rPr>
        <w:t>Associate Program Implementation Specialist</w:t>
      </w:r>
      <w:r w:rsidR="00044000">
        <w:rPr>
          <w:rFonts w:asciiTheme="minorHAnsi" w:eastAsiaTheme="minorEastAsia" w:hAnsiTheme="minorHAnsi" w:cstheme="minorHAnsi"/>
        </w:rPr>
        <w:t xml:space="preserve">; </w:t>
      </w:r>
      <w:r w:rsidR="00CF652B" w:rsidRPr="00044000">
        <w:rPr>
          <w:rFonts w:asciiTheme="minorHAnsi" w:eastAsiaTheme="minorEastAsia" w:hAnsiTheme="minorHAnsi" w:cstheme="minorHAnsi"/>
        </w:rPr>
        <w:t>Heather Mikes</w:t>
      </w:r>
      <w:r w:rsidR="00044000">
        <w:rPr>
          <w:rFonts w:asciiTheme="minorHAnsi" w:eastAsiaTheme="minorEastAsia" w:hAnsiTheme="minorHAnsi" w:cstheme="minorHAnsi"/>
        </w:rPr>
        <w:t>,</w:t>
      </w:r>
      <w:r w:rsidR="00CF652B" w:rsidRPr="00044000">
        <w:rPr>
          <w:rFonts w:asciiTheme="minorHAnsi" w:eastAsiaTheme="minorEastAsia" w:hAnsiTheme="minorHAnsi" w:cstheme="minorHAnsi"/>
        </w:rPr>
        <w:t xml:space="preserve"> </w:t>
      </w:r>
      <w:r w:rsidR="005A547C" w:rsidRPr="00044000">
        <w:rPr>
          <w:rFonts w:asciiTheme="minorHAnsi" w:eastAsiaTheme="minorEastAsia" w:hAnsiTheme="minorHAnsi" w:cstheme="minorHAnsi"/>
        </w:rPr>
        <w:t>DO FAAHPM</w:t>
      </w:r>
      <w:r w:rsidR="00044000">
        <w:rPr>
          <w:rFonts w:asciiTheme="minorHAnsi" w:eastAsiaTheme="minorEastAsia" w:hAnsiTheme="minorHAnsi" w:cstheme="minorHAnsi"/>
        </w:rPr>
        <w:t>;</w:t>
      </w:r>
      <w:r w:rsidR="00A84CBD" w:rsidRPr="00044000">
        <w:rPr>
          <w:rFonts w:asciiTheme="minorHAnsi" w:eastAsiaTheme="minorEastAsia" w:hAnsiTheme="minorHAnsi" w:cstheme="minorHAnsi"/>
        </w:rPr>
        <w:t xml:space="preserve"> Hannah Scears</w:t>
      </w:r>
      <w:r w:rsidR="00044000">
        <w:rPr>
          <w:rFonts w:asciiTheme="minorHAnsi" w:eastAsiaTheme="minorEastAsia" w:hAnsiTheme="minorHAnsi" w:cstheme="minorHAnsi"/>
        </w:rPr>
        <w:t>, MS</w:t>
      </w:r>
    </w:p>
    <w:p w14:paraId="0D1AEC09" w14:textId="28C38EC3" w:rsidR="002948D1" w:rsidRPr="00F90BD6" w:rsidRDefault="04B64773" w:rsidP="19359BF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91894">
        <w:rPr>
          <w:rStyle w:val="normaltextrun"/>
          <w:rFonts w:asciiTheme="minorHAnsi" w:eastAsiaTheme="minorEastAsia" w:hAnsiTheme="minorHAnsi" w:cstheme="minorBidi"/>
        </w:rPr>
        <w:t>5/20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D263C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04F2A71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="00044000"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University of Pittsburgh, School of Pharmacy, </w:t>
      </w:r>
      <w:r w:rsidR="00044000" w:rsidRPr="0096696A">
        <w:rPr>
          <w:rFonts w:eastAsiaTheme="minorEastAsia" w:cstheme="minorHAnsi"/>
        </w:rPr>
        <w:t>Implementation and Research Center for Healthy Communities (IRC)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AA6B5DD" w14:textId="77777777" w:rsidR="00637F82" w:rsidRPr="00637F82" w:rsidRDefault="00637F82" w:rsidP="00637F82">
      <w:pPr>
        <w:pStyle w:val="ListParagraph"/>
        <w:numPr>
          <w:ilvl w:val="0"/>
          <w:numId w:val="7"/>
        </w:numPr>
        <w:spacing w:before="240" w:after="0"/>
        <w:textAlignment w:val="baseline"/>
      </w:pPr>
      <w:r w:rsidRPr="00637F82">
        <w:t>Identify the benefits of sustained client engagement in substance use treatment and the care manager's role in supporting it.</w:t>
      </w:r>
    </w:p>
    <w:p w14:paraId="689BE328" w14:textId="77777777" w:rsidR="00637F82" w:rsidRPr="00637F82" w:rsidRDefault="00637F82" w:rsidP="00637F82">
      <w:pPr>
        <w:pStyle w:val="ListParagraph"/>
        <w:numPr>
          <w:ilvl w:val="0"/>
          <w:numId w:val="7"/>
        </w:numPr>
        <w:spacing w:before="240" w:after="0"/>
        <w:textAlignment w:val="baseline"/>
      </w:pPr>
      <w:r w:rsidRPr="00637F82">
        <w:t>Examine individual, social, and systemic risk factors associated with treatment and care management disengagement.</w:t>
      </w:r>
    </w:p>
    <w:p w14:paraId="769F443B" w14:textId="4861A556" w:rsidR="00F63C9C" w:rsidRPr="0054451E" w:rsidRDefault="00637F82" w:rsidP="0054451E">
      <w:pPr>
        <w:pStyle w:val="ListParagraph"/>
        <w:numPr>
          <w:ilvl w:val="0"/>
          <w:numId w:val="7"/>
        </w:numPr>
        <w:spacing w:before="240" w:after="0"/>
        <w:textAlignment w:val="baseline"/>
        <w:rPr>
          <w:rStyle w:val="normaltextrun"/>
        </w:rPr>
      </w:pPr>
      <w:r w:rsidRPr="00637F82">
        <w:t>Apply evidence-based care management strategies to prevent and respond to disengagement</w:t>
      </w:r>
    </w:p>
    <w:p w14:paraId="116A5289" w14:textId="43F7059E" w:rsidR="619860E1" w:rsidRPr="00F63C9C" w:rsidRDefault="00E74095" w:rsidP="00F63C9C">
      <w:pPr>
        <w:spacing w:before="240" w:after="0"/>
        <w:textAlignment w:val="baseline"/>
        <w:rPr>
          <w:rStyle w:val="normaltextrun"/>
          <w:rFonts w:eastAsiaTheme="minorEastAsia"/>
          <w:b/>
          <w:bCs/>
        </w:rPr>
      </w:pPr>
      <w:r w:rsidRPr="00F63C9C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54451E" w:rsidRDefault="4231C4F0" w:rsidP="075F8738">
      <w:pPr>
        <w:pStyle w:val="ListParagraph"/>
        <w:numPr>
          <w:ilvl w:val="0"/>
          <w:numId w:val="5"/>
        </w:numPr>
        <w:spacing w:after="0"/>
        <w:textAlignment w:val="baseline"/>
      </w:pPr>
      <w:r w:rsidRPr="0054451E">
        <w:t xml:space="preserve">Introduction </w:t>
      </w:r>
    </w:p>
    <w:p w14:paraId="66077BED" w14:textId="357E8823" w:rsidR="00195A3E" w:rsidRPr="00195A3E" w:rsidRDefault="00195A3E" w:rsidP="00195A3E">
      <w:pPr>
        <w:pStyle w:val="ListParagraph"/>
        <w:numPr>
          <w:ilvl w:val="0"/>
          <w:numId w:val="5"/>
        </w:numPr>
        <w:textAlignment w:val="baseline"/>
      </w:pPr>
      <w:r w:rsidRPr="00195A3E">
        <w:t>Background</w:t>
      </w:r>
    </w:p>
    <w:p w14:paraId="482A2178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Definition of client engagement</w:t>
      </w:r>
    </w:p>
    <w:p w14:paraId="1352C16D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Treatment gap: 6.1M people with OUD in 2022; ~87% not receiving MOUD; low program completion rates</w:t>
      </w:r>
    </w:p>
    <w:p w14:paraId="68D33B5A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 xml:space="preserve">Care manager's </w:t>
      </w:r>
      <w:proofErr w:type="gramStart"/>
      <w:r w:rsidRPr="00195A3E">
        <w:t>role:</w:t>
      </w:r>
      <w:proofErr w:type="gramEnd"/>
      <w:r w:rsidRPr="00195A3E">
        <w:t xml:space="preserve"> needs assessment, care planning, outreach, resource linkage, care transitions</w:t>
      </w:r>
    </w:p>
    <w:p w14:paraId="0A98D3D9" w14:textId="2A2D025B" w:rsidR="00195A3E" w:rsidRPr="00195A3E" w:rsidRDefault="00195A3E" w:rsidP="00195A3E">
      <w:pPr>
        <w:pStyle w:val="ListParagraph"/>
        <w:numPr>
          <w:ilvl w:val="0"/>
          <w:numId w:val="5"/>
        </w:numPr>
        <w:textAlignment w:val="baseline"/>
      </w:pPr>
      <w:r w:rsidRPr="00195A3E">
        <w:t xml:space="preserve">Benefits of Engagement </w:t>
      </w:r>
    </w:p>
    <w:p w14:paraId="2403F1BE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Survival: MOUD retention reduces overdose mortality (59% reduction with methadone; 38% with buprenorphine)</w:t>
      </w:r>
    </w:p>
    <w:p w14:paraId="465DCB8F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Improved life outcomes: abstinence, fewer ED visits, fewer arrests</w:t>
      </w:r>
    </w:p>
    <w:p w14:paraId="1756F602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Reduced system costs: care coordination lowers unnecessary acute care</w:t>
      </w:r>
    </w:p>
    <w:p w14:paraId="7E286205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Recovery capital: outreach, peer support, and wraparound services</w:t>
      </w:r>
    </w:p>
    <w:p w14:paraId="6E455BF7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Discussion question: reflect on a client you helped stay engaged</w:t>
      </w:r>
    </w:p>
    <w:p w14:paraId="75E60033" w14:textId="6287570D" w:rsidR="00195A3E" w:rsidRPr="00195A3E" w:rsidRDefault="00195A3E" w:rsidP="00195A3E">
      <w:pPr>
        <w:pStyle w:val="ListParagraph"/>
        <w:numPr>
          <w:ilvl w:val="0"/>
          <w:numId w:val="5"/>
        </w:numPr>
        <w:textAlignment w:val="baseline"/>
      </w:pPr>
      <w:r w:rsidRPr="00195A3E">
        <w:t xml:space="preserve">Recognizing the Risk of Disengagement </w:t>
      </w:r>
    </w:p>
    <w:p w14:paraId="13A28CE8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Early warning signs: missed appointments, no response to outreach, housing instability, crisis escalation, hopelessness, insurance gaps</w:t>
      </w:r>
    </w:p>
    <w:p w14:paraId="5E0454CE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Individual-level factors: age, motivation, co-occurring mental health conditions, internalized stigma</w:t>
      </w:r>
    </w:p>
    <w:p w14:paraId="67364956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 xml:space="preserve">Relational &amp; social factors: weak therapeutic </w:t>
      </w:r>
      <w:proofErr w:type="gramStart"/>
      <w:r w:rsidRPr="00195A3E">
        <w:t>relationship</w:t>
      </w:r>
      <w:proofErr w:type="gramEnd"/>
      <w:r w:rsidRPr="00195A3E">
        <w:t>, provider stigma, social isolation</w:t>
      </w:r>
    </w:p>
    <w:p w14:paraId="28A854AA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Systemic &amp; structural factors: rigid requirements, fragmented care, limited MOUD access</w:t>
      </w:r>
    </w:p>
    <w:p w14:paraId="5CC4D13A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Ambivalence: visible behaviors (minimizing, deflecting, disappearing) vs. hidden drivers (mistrust, pessimism)</w:t>
      </w:r>
    </w:p>
    <w:p w14:paraId="059B8540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lastRenderedPageBreak/>
        <w:t>Coercion: perceived coercion drives poor outcomes; respectful, autonomy-supportive approaches improve retention</w:t>
      </w:r>
    </w:p>
    <w:p w14:paraId="3A53A04C" w14:textId="77777777" w:rsidR="00195A3E" w:rsidRPr="00195A3E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195A3E">
        <w:t>SDOH as disengagement drivers: housing, transportation, economic instability, justice involvement, isolation, food insecurity</w:t>
      </w:r>
    </w:p>
    <w:p w14:paraId="3539585B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SDOH + stigma: structural, provider, and self-stigma compound each other</w:t>
      </w:r>
    </w:p>
    <w:p w14:paraId="73FF5F3E" w14:textId="5952084A" w:rsidR="00195A3E" w:rsidRPr="002215D7" w:rsidRDefault="00195A3E" w:rsidP="00195A3E">
      <w:pPr>
        <w:pStyle w:val="ListParagraph"/>
        <w:numPr>
          <w:ilvl w:val="0"/>
          <w:numId w:val="5"/>
        </w:numPr>
        <w:textAlignment w:val="baseline"/>
      </w:pPr>
      <w:r w:rsidRPr="002215D7">
        <w:t xml:space="preserve">Strategies to Prevent and Address Disengagement </w:t>
      </w:r>
    </w:p>
    <w:p w14:paraId="26F5B29B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Addressing SDOH: screen at every contact, document barriers, connect to community resources, advocate, use flexible outreach</w:t>
      </w:r>
    </w:p>
    <w:p w14:paraId="3AD19922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Ongoing needs assessments &amp; care plans: validated tools, individualized plans reflecting goals, barriers, and strengths</w:t>
      </w:r>
    </w:p>
    <w:p w14:paraId="15EC895E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Protective factors</w:t>
      </w:r>
    </w:p>
    <w:p w14:paraId="2E5E90B9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Proactive outreach: follow up on no-shows within 24–48 hours, use EHR flags, engage trusted supports</w:t>
      </w:r>
    </w:p>
    <w:p w14:paraId="7CE2DE2C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Reengagement: act fast, nonjudgmental outreach, update care plan, ensure naloxone and safety planning</w:t>
      </w:r>
    </w:p>
    <w:p w14:paraId="26723D70" w14:textId="7D138949" w:rsidR="00195A3E" w:rsidRPr="002215D7" w:rsidRDefault="00195A3E" w:rsidP="00195A3E">
      <w:pPr>
        <w:pStyle w:val="ListParagraph"/>
        <w:numPr>
          <w:ilvl w:val="0"/>
          <w:numId w:val="5"/>
        </w:numPr>
        <w:textAlignment w:val="baseline"/>
      </w:pPr>
      <w:r w:rsidRPr="002215D7">
        <w:t>Key Takeaways</w:t>
      </w:r>
    </w:p>
    <w:p w14:paraId="07ABCA7B" w14:textId="4E7F6C86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Disengagement is clinical</w:t>
      </w:r>
      <w:r w:rsidR="002215D7">
        <w:t xml:space="preserve">, </w:t>
      </w:r>
      <w:r w:rsidRPr="002215D7">
        <w:t>driven by distress, stigma, and social barriers</w:t>
      </w:r>
    </w:p>
    <w:p w14:paraId="64838D86" w14:textId="1792812E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 xml:space="preserve">The relationship determines the </w:t>
      </w:r>
      <w:r w:rsidR="002215D7" w:rsidRPr="002215D7">
        <w:t>outcome,</w:t>
      </w:r>
      <w:r w:rsidRPr="002215D7">
        <w:t xml:space="preserve"> respect and autonomy matter</w:t>
      </w:r>
    </w:p>
    <w:p w14:paraId="25D93A67" w14:textId="35C7E282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Address SDOH, not just diagnosis</w:t>
      </w:r>
      <w:r w:rsidR="002215D7">
        <w:t xml:space="preserve">, </w:t>
      </w:r>
      <w:r w:rsidRPr="002215D7">
        <w:t>survival needs compete with care</w:t>
      </w:r>
    </w:p>
    <w:p w14:paraId="19A24A67" w14:textId="277ACD76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 xml:space="preserve">First 30 days are </w:t>
      </w:r>
      <w:r w:rsidR="002215D7" w:rsidRPr="002215D7">
        <w:t>highest risk</w:t>
      </w:r>
      <w:r w:rsidRPr="002215D7">
        <w:t>; proactive outreach is the primary strategy</w:t>
      </w:r>
    </w:p>
    <w:p w14:paraId="020D01C0" w14:textId="77777777" w:rsidR="00195A3E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Screen continuously; care plans must stay current</w:t>
      </w:r>
    </w:p>
    <w:p w14:paraId="2F51BDEC" w14:textId="66ABC166" w:rsidR="00A823B3" w:rsidRPr="002215D7" w:rsidRDefault="00195A3E" w:rsidP="00195A3E">
      <w:pPr>
        <w:pStyle w:val="ListParagraph"/>
        <w:numPr>
          <w:ilvl w:val="1"/>
          <w:numId w:val="5"/>
        </w:numPr>
        <w:spacing w:after="0"/>
        <w:textAlignment w:val="baseline"/>
      </w:pPr>
      <w:r w:rsidRPr="002215D7">
        <w:t>Resistance = ambivalence; respond with curiosity, not confrontation</w:t>
      </w:r>
    </w:p>
    <w:p w14:paraId="4ADF39B7" w14:textId="2666BDB7" w:rsidR="0054451E" w:rsidRPr="002215D7" w:rsidRDefault="00E86B48" w:rsidP="002215D7">
      <w:pPr>
        <w:pStyle w:val="ListParagraph"/>
        <w:numPr>
          <w:ilvl w:val="0"/>
          <w:numId w:val="5"/>
        </w:numPr>
        <w:spacing w:before="240" w:after="240"/>
      </w:pPr>
      <w:proofErr w:type="spellStart"/>
      <w:r>
        <w:t>Latterman</w:t>
      </w:r>
      <w:proofErr w:type="spellEnd"/>
      <w:r>
        <w:t xml:space="preserve"> Family Health Center</w:t>
      </w:r>
      <w:r w:rsidR="00A823B3" w:rsidRPr="002215D7">
        <w:t xml:space="preserve"> COE Presentation</w:t>
      </w:r>
    </w:p>
    <w:p w14:paraId="4F53FA1C" w14:textId="5A5F8C0A" w:rsidR="009B21BD" w:rsidRPr="009B21BD" w:rsidRDefault="009B21BD" w:rsidP="009B21BD">
      <w:pPr>
        <w:pStyle w:val="ListParagraph"/>
        <w:numPr>
          <w:ilvl w:val="1"/>
          <w:numId w:val="5"/>
        </w:numPr>
        <w:spacing w:before="240" w:after="240"/>
      </w:pPr>
      <w:r w:rsidRPr="009B21BD">
        <w:t>Foundation: Philosophy &amp; Relationships</w:t>
      </w:r>
    </w:p>
    <w:p w14:paraId="63AEEBF2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Clients self-select into care; start with their goals and values </w:t>
      </w:r>
    </w:p>
    <w:p w14:paraId="489E92B5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Engagement is built through trust and human connection </w:t>
      </w:r>
    </w:p>
    <w:p w14:paraId="066F03E5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Prioritize relationship-building over compliance </w:t>
      </w:r>
    </w:p>
    <w:p w14:paraId="38273EC8" w14:textId="783E5583" w:rsidR="009B21BD" w:rsidRPr="002215D7" w:rsidRDefault="002215D7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>Meeting</w:t>
      </w:r>
      <w:r w:rsidR="009B21BD" w:rsidRPr="009B21BD">
        <w:t xml:space="preserve"> clients at their stage of change </w:t>
      </w:r>
    </w:p>
    <w:p w14:paraId="54A04E74" w14:textId="18C878C2" w:rsidR="009B21BD" w:rsidRPr="009B21BD" w:rsidRDefault="009B21BD" w:rsidP="009B21BD">
      <w:pPr>
        <w:pStyle w:val="ListParagraph"/>
        <w:numPr>
          <w:ilvl w:val="1"/>
          <w:numId w:val="5"/>
        </w:numPr>
        <w:spacing w:before="240" w:after="240"/>
      </w:pPr>
      <w:r w:rsidRPr="009B21BD">
        <w:t>Access &amp; Engagement Strategies</w:t>
      </w:r>
    </w:p>
    <w:p w14:paraId="24EEA324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Flexible, low-barrier care (texting, reminders, drop-in options) </w:t>
      </w:r>
    </w:p>
    <w:p w14:paraId="71F55E3D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Meet clients where they are (clinic, home, community) </w:t>
      </w:r>
    </w:p>
    <w:p w14:paraId="6D2D32E8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Consistent outreach—even when clients are inconsistent </w:t>
      </w:r>
    </w:p>
    <w:p w14:paraId="769BE0EE" w14:textId="6AF90AC5" w:rsidR="009B21BD" w:rsidRPr="002215D7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Engagement goes beyond attendance </w:t>
      </w:r>
    </w:p>
    <w:p w14:paraId="5510FBAD" w14:textId="7957098D" w:rsidR="009B21BD" w:rsidRPr="009B21BD" w:rsidRDefault="009B21BD" w:rsidP="009B21BD">
      <w:pPr>
        <w:pStyle w:val="ListParagraph"/>
        <w:numPr>
          <w:ilvl w:val="1"/>
          <w:numId w:val="5"/>
        </w:numPr>
        <w:spacing w:before="240" w:after="240"/>
      </w:pPr>
      <w:r w:rsidRPr="009B21BD">
        <w:t>Addressing Needs Holistically (SDOH)</w:t>
      </w:r>
    </w:p>
    <w:p w14:paraId="07940760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>Identify and address transportation, housing</w:t>
      </w:r>
      <w:proofErr w:type="gramStart"/>
      <w:r w:rsidRPr="009B21BD">
        <w:t>, food</w:t>
      </w:r>
      <w:proofErr w:type="gramEnd"/>
      <w:r w:rsidRPr="009B21BD">
        <w:t xml:space="preserve"> needs early </w:t>
      </w:r>
    </w:p>
    <w:p w14:paraId="54EB9416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Integrate SDOH into care planning </w:t>
      </w:r>
    </w:p>
    <w:p w14:paraId="6C9D0241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Use partnerships and on-site resources </w:t>
      </w:r>
    </w:p>
    <w:p w14:paraId="02403E79" w14:textId="5E12ED6A" w:rsidR="009B21BD" w:rsidRPr="002215D7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Adapt care (e.g., harm reduction, early MOUD access) </w:t>
      </w:r>
    </w:p>
    <w:p w14:paraId="75A956DC" w14:textId="592D0141" w:rsidR="009B21BD" w:rsidRPr="009B21BD" w:rsidRDefault="009B21BD" w:rsidP="009B21BD">
      <w:pPr>
        <w:pStyle w:val="ListParagraph"/>
        <w:numPr>
          <w:ilvl w:val="1"/>
          <w:numId w:val="5"/>
        </w:numPr>
        <w:spacing w:before="240" w:after="240"/>
      </w:pPr>
      <w:r w:rsidRPr="009B21BD">
        <w:t>Preventing &amp; Responding to Disengagement</w:t>
      </w:r>
    </w:p>
    <w:p w14:paraId="7C762AE2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Recognize early warning signs (missed visits, reduced communication) </w:t>
      </w:r>
    </w:p>
    <w:p w14:paraId="5C5825B3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Respond quickly with proactive, multi-method outreach </w:t>
      </w:r>
    </w:p>
    <w:p w14:paraId="3CAB18C6" w14:textId="77777777" w:rsidR="009B21BD" w:rsidRPr="009B21BD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 xml:space="preserve">Maintain a non-judgmental, supportive approach </w:t>
      </w:r>
    </w:p>
    <w:p w14:paraId="768A6B14" w14:textId="3E76DDF4" w:rsidR="009B21BD" w:rsidRPr="002215D7" w:rsidRDefault="009B21BD" w:rsidP="00CC07BE">
      <w:pPr>
        <w:pStyle w:val="ListParagraph"/>
        <w:numPr>
          <w:ilvl w:val="2"/>
          <w:numId w:val="5"/>
        </w:numPr>
        <w:spacing w:before="240" w:after="240"/>
      </w:pPr>
      <w:r w:rsidRPr="009B21BD">
        <w:t>Normalize disengagement and celebrate re-engagement</w:t>
      </w:r>
    </w:p>
    <w:p w14:paraId="02C95DC1" w14:textId="360FE6A7" w:rsidR="0DAAC4EA" w:rsidRPr="002215D7" w:rsidRDefault="00C93BDB" w:rsidP="00C93BDB">
      <w:pPr>
        <w:pStyle w:val="ListParagraph"/>
        <w:numPr>
          <w:ilvl w:val="0"/>
          <w:numId w:val="5"/>
        </w:numPr>
        <w:spacing w:before="240" w:after="240"/>
      </w:pPr>
      <w:r w:rsidRPr="002215D7">
        <w:t>Discussion</w:t>
      </w:r>
    </w:p>
    <w:p w14:paraId="4C1FAAF6" w14:textId="51B8A769" w:rsidR="1DB4B423" w:rsidRPr="00F90BD6" w:rsidRDefault="2C97F57A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1EEB02B4">
        <w:rPr>
          <w:rFonts w:eastAsiaTheme="minorEastAsia"/>
          <w:b/>
          <w:bCs/>
          <w:sz w:val="24"/>
          <w:szCs w:val="24"/>
        </w:rPr>
        <w:lastRenderedPageBreak/>
        <w:t>References:</w:t>
      </w:r>
    </w:p>
    <w:p w14:paraId="11D3F9F5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>Here are all the references from the presentation:</w:t>
      </w:r>
    </w:p>
    <w:p w14:paraId="0C28E2B4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Agency for Healthcare Research and Quality. (2023). Care coordination. U.S. Department of Health and Human Services. </w:t>
      </w:r>
      <w:hyperlink r:id="rId9" w:history="1">
        <w:r w:rsidRPr="00280CCF">
          <w:rPr>
            <w:rStyle w:val="Hyperlink"/>
            <w:rFonts w:ascii="Calibri" w:eastAsia="Calibri" w:hAnsi="Calibri" w:cs="Calibri"/>
          </w:rPr>
          <w:t>https://www.ahrq.gov/ncepcr/care/coordination.html</w:t>
        </w:r>
      </w:hyperlink>
    </w:p>
    <w:p w14:paraId="178DDDCC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Andersson, H. W., Wenaas, M., &amp; </w:t>
      </w:r>
      <w:proofErr w:type="spellStart"/>
      <w:r w:rsidRPr="00280CCF">
        <w:rPr>
          <w:rFonts w:ascii="Calibri" w:eastAsia="Calibri" w:hAnsi="Calibri" w:cs="Calibri"/>
        </w:rPr>
        <w:t>Nordfjaern</w:t>
      </w:r>
      <w:proofErr w:type="spellEnd"/>
      <w:r w:rsidRPr="00280CCF">
        <w:rPr>
          <w:rFonts w:ascii="Calibri" w:eastAsia="Calibri" w:hAnsi="Calibri" w:cs="Calibri"/>
        </w:rPr>
        <w:t xml:space="preserve">, T. (2018). </w:t>
      </w:r>
      <w:proofErr w:type="gramStart"/>
      <w:r w:rsidRPr="00280CCF">
        <w:rPr>
          <w:rFonts w:ascii="Calibri" w:eastAsia="Calibri" w:hAnsi="Calibri" w:cs="Calibri"/>
        </w:rPr>
        <w:t>Relapse</w:t>
      </w:r>
      <w:proofErr w:type="gramEnd"/>
      <w:r w:rsidRPr="00280CCF">
        <w:rPr>
          <w:rFonts w:ascii="Calibri" w:eastAsia="Calibri" w:hAnsi="Calibri" w:cs="Calibri"/>
        </w:rPr>
        <w:t xml:space="preserve"> after inpatient substance use treatment: A prospective cohort study among users of illicit substances. </w:t>
      </w:r>
      <w:r w:rsidRPr="00280CCF">
        <w:rPr>
          <w:rFonts w:ascii="Calibri" w:eastAsia="Calibri" w:hAnsi="Calibri" w:cs="Calibri"/>
          <w:i/>
          <w:iCs/>
        </w:rPr>
        <w:t>Addictive Behaviors, 90</w:t>
      </w:r>
      <w:r w:rsidRPr="00280CCF">
        <w:rPr>
          <w:rFonts w:ascii="Calibri" w:eastAsia="Calibri" w:hAnsi="Calibri" w:cs="Calibri"/>
        </w:rPr>
        <w:t xml:space="preserve">, 136–142. </w:t>
      </w:r>
      <w:hyperlink r:id="rId10" w:history="1">
        <w:r w:rsidRPr="00280CCF">
          <w:rPr>
            <w:rStyle w:val="Hyperlink"/>
            <w:rFonts w:ascii="Calibri" w:eastAsia="Calibri" w:hAnsi="Calibri" w:cs="Calibri"/>
          </w:rPr>
          <w:t>https://doi.org/10.1016/j.addbeh.2018.10.032</w:t>
        </w:r>
      </w:hyperlink>
    </w:p>
    <w:p w14:paraId="38829CBF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Brorson, H. H., Ajo Arnevik, E., Rand-Hendriksen, K., &amp; Duckert, F. (2013). Drop-out from addiction treatment: A systematic review of risk factors. </w:t>
      </w:r>
      <w:r w:rsidRPr="00280CCF">
        <w:rPr>
          <w:rFonts w:ascii="Calibri" w:eastAsia="Calibri" w:hAnsi="Calibri" w:cs="Calibri"/>
          <w:i/>
          <w:iCs/>
        </w:rPr>
        <w:t>Clinical Psychology Review, 33</w:t>
      </w:r>
      <w:r w:rsidRPr="00280CCF">
        <w:rPr>
          <w:rFonts w:ascii="Calibri" w:eastAsia="Calibri" w:hAnsi="Calibri" w:cs="Calibri"/>
        </w:rPr>
        <w:t xml:space="preserve">(8), 1010–1024. </w:t>
      </w:r>
      <w:hyperlink r:id="rId11" w:history="1">
        <w:r w:rsidRPr="00280CCF">
          <w:rPr>
            <w:rStyle w:val="Hyperlink"/>
            <w:rFonts w:ascii="Calibri" w:eastAsia="Calibri" w:hAnsi="Calibri" w:cs="Calibri"/>
          </w:rPr>
          <w:t>https://doi.org/10.1016/j.cpr.2013.07.007</w:t>
        </w:r>
      </w:hyperlink>
    </w:p>
    <w:p w14:paraId="05C429BA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Centers for Medicare &amp; Medicaid Services. (2023). Health-related social needs screening tool. U.S. Department of Health and Human Services. </w:t>
      </w:r>
      <w:hyperlink r:id="rId12" w:history="1">
        <w:r w:rsidRPr="00280CCF">
          <w:rPr>
            <w:rStyle w:val="Hyperlink"/>
            <w:rFonts w:ascii="Calibri" w:eastAsia="Calibri" w:hAnsi="Calibri" w:cs="Calibri"/>
          </w:rPr>
          <w:t>https://www.cms.gov/priorities/innovation/data-and-reports/2023/ah-hrsn-screening-tool</w:t>
        </w:r>
      </w:hyperlink>
    </w:p>
    <w:p w14:paraId="51816BFB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Davis, C. S., Carr, D., &amp; Samuels, E. (2023). Opioid use disorder stigma reduction and treatment access: A policy and advocacy agenda. </w:t>
      </w:r>
      <w:r w:rsidRPr="00280CCF">
        <w:rPr>
          <w:rFonts w:ascii="Calibri" w:eastAsia="Calibri" w:hAnsi="Calibri" w:cs="Calibri"/>
          <w:i/>
          <w:iCs/>
        </w:rPr>
        <w:t>Journal of Substance Abuse Treatment, 147</w:t>
      </w:r>
      <w:r w:rsidRPr="00280CCF">
        <w:rPr>
          <w:rFonts w:ascii="Calibri" w:eastAsia="Calibri" w:hAnsi="Calibri" w:cs="Calibri"/>
        </w:rPr>
        <w:t xml:space="preserve">, Article 108737. </w:t>
      </w:r>
      <w:hyperlink r:id="rId13" w:history="1">
        <w:r w:rsidRPr="00280CCF">
          <w:rPr>
            <w:rStyle w:val="Hyperlink"/>
            <w:rFonts w:ascii="Calibri" w:eastAsia="Calibri" w:hAnsi="Calibri" w:cs="Calibri"/>
          </w:rPr>
          <w:t>https://doi.org/10.1016/j.jsat.2022.108737</w:t>
        </w:r>
      </w:hyperlink>
    </w:p>
    <w:p w14:paraId="6D186ADA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Donahoe, R., &amp; Saloner, B. (2024). Justice-involved populations and access to medications for opioid use disorder. </w:t>
      </w:r>
      <w:r w:rsidRPr="00280CCF">
        <w:rPr>
          <w:rFonts w:ascii="Calibri" w:eastAsia="Calibri" w:hAnsi="Calibri" w:cs="Calibri"/>
          <w:i/>
          <w:iCs/>
        </w:rPr>
        <w:t>Health Affairs, 43</w:t>
      </w:r>
      <w:r w:rsidRPr="00280CCF">
        <w:rPr>
          <w:rFonts w:ascii="Calibri" w:eastAsia="Calibri" w:hAnsi="Calibri" w:cs="Calibri"/>
        </w:rPr>
        <w:t xml:space="preserve">(2), 210–218. </w:t>
      </w:r>
      <w:hyperlink r:id="rId14" w:history="1">
        <w:r w:rsidRPr="00280CCF">
          <w:rPr>
            <w:rStyle w:val="Hyperlink"/>
            <w:rFonts w:ascii="Calibri" w:eastAsia="Calibri" w:hAnsi="Calibri" w:cs="Calibri"/>
          </w:rPr>
          <w:t>https://doi.org/10.1377/hlthaff.2023.01051</w:t>
        </w:r>
      </w:hyperlink>
    </w:p>
    <w:p w14:paraId="5CC811E6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Doron, A., Afek, A., &amp; Strous, R. D. (2022). Predictors of treatment dropout in a substance use disorder population: A systematic review. </w:t>
      </w:r>
      <w:r w:rsidRPr="00280CCF">
        <w:rPr>
          <w:rFonts w:ascii="Calibri" w:eastAsia="Calibri" w:hAnsi="Calibri" w:cs="Calibri"/>
          <w:i/>
          <w:iCs/>
        </w:rPr>
        <w:t>Substance Abuse Treatment, Prevention, and Policy, 17</w:t>
      </w:r>
      <w:r w:rsidRPr="00280CCF">
        <w:rPr>
          <w:rFonts w:ascii="Calibri" w:eastAsia="Calibri" w:hAnsi="Calibri" w:cs="Calibri"/>
        </w:rPr>
        <w:t xml:space="preserve">(1), Article 38. </w:t>
      </w:r>
      <w:hyperlink r:id="rId15" w:history="1">
        <w:r w:rsidRPr="00280CCF">
          <w:rPr>
            <w:rStyle w:val="Hyperlink"/>
            <w:rFonts w:ascii="Calibri" w:eastAsia="Calibri" w:hAnsi="Calibri" w:cs="Calibri"/>
          </w:rPr>
          <w:t>https://doi.org/10.1186/s13011-022-00466-y</w:t>
        </w:r>
      </w:hyperlink>
    </w:p>
    <w:p w14:paraId="02638331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Gottlieb, L. M., Wing, H., &amp; Adler, N. E. (2020). A systematic review of interventions on patients' social and economic needs. </w:t>
      </w:r>
      <w:r w:rsidRPr="00280CCF">
        <w:rPr>
          <w:rFonts w:ascii="Calibri" w:eastAsia="Calibri" w:hAnsi="Calibri" w:cs="Calibri"/>
          <w:i/>
          <w:iCs/>
        </w:rPr>
        <w:t>American Journal of Preventive Medicine, 53</w:t>
      </w:r>
      <w:r w:rsidRPr="00280CCF">
        <w:rPr>
          <w:rFonts w:ascii="Calibri" w:eastAsia="Calibri" w:hAnsi="Calibri" w:cs="Calibri"/>
        </w:rPr>
        <w:t xml:space="preserve">(5), 719–729. </w:t>
      </w:r>
      <w:hyperlink r:id="rId16" w:history="1">
        <w:r w:rsidRPr="00280CCF">
          <w:rPr>
            <w:rStyle w:val="Hyperlink"/>
            <w:rFonts w:ascii="Calibri" w:eastAsia="Calibri" w:hAnsi="Calibri" w:cs="Calibri"/>
          </w:rPr>
          <w:t>https://doi.org/10.1016/j.amepre.2017.05.011</w:t>
        </w:r>
      </w:hyperlink>
    </w:p>
    <w:p w14:paraId="3EACB216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Hachtel, H., Harries, C., &amp; Bhugra, D. (2019). Compulsory </w:t>
      </w:r>
      <w:proofErr w:type="gramStart"/>
      <w:r w:rsidRPr="00280CCF">
        <w:rPr>
          <w:rFonts w:ascii="Calibri" w:eastAsia="Calibri" w:hAnsi="Calibri" w:cs="Calibri"/>
        </w:rPr>
        <w:t>admissions</w:t>
      </w:r>
      <w:proofErr w:type="gramEnd"/>
      <w:r w:rsidRPr="00280CCF">
        <w:rPr>
          <w:rFonts w:ascii="Calibri" w:eastAsia="Calibri" w:hAnsi="Calibri" w:cs="Calibri"/>
        </w:rPr>
        <w:t xml:space="preserve"> and treatment in psychiatry and their impact on outcomes. </w:t>
      </w:r>
      <w:r w:rsidRPr="00280CCF">
        <w:rPr>
          <w:rFonts w:ascii="Calibri" w:eastAsia="Calibri" w:hAnsi="Calibri" w:cs="Calibri"/>
          <w:i/>
          <w:iCs/>
        </w:rPr>
        <w:t>International Review of Psychiatry, 31</w:t>
      </w:r>
      <w:r w:rsidRPr="00280CCF">
        <w:rPr>
          <w:rFonts w:ascii="Calibri" w:eastAsia="Calibri" w:hAnsi="Calibri" w:cs="Calibri"/>
        </w:rPr>
        <w:t xml:space="preserve">(5–6), 371–379. </w:t>
      </w:r>
      <w:hyperlink r:id="rId17" w:history="1">
        <w:r w:rsidRPr="00280CCF">
          <w:rPr>
            <w:rStyle w:val="Hyperlink"/>
            <w:rFonts w:ascii="Calibri" w:eastAsia="Calibri" w:hAnsi="Calibri" w:cs="Calibri"/>
          </w:rPr>
          <w:t>https://doi.org/10.1080/09540261.2019.1654722</w:t>
        </w:r>
      </w:hyperlink>
    </w:p>
    <w:p w14:paraId="0238D42F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Holdsworth, E., Bowen, E., Brown, S., &amp; Howat, D. (2014). Client engagement in psychotherapeutic treatment and associations with client characteristics, therapist characteristics, and treatment factors. </w:t>
      </w:r>
      <w:r w:rsidRPr="00280CCF">
        <w:rPr>
          <w:rFonts w:ascii="Calibri" w:eastAsia="Calibri" w:hAnsi="Calibri" w:cs="Calibri"/>
          <w:i/>
          <w:iCs/>
        </w:rPr>
        <w:t>Clinical Psychology Review, 34</w:t>
      </w:r>
      <w:r w:rsidRPr="00280CCF">
        <w:rPr>
          <w:rFonts w:ascii="Calibri" w:eastAsia="Calibri" w:hAnsi="Calibri" w:cs="Calibri"/>
        </w:rPr>
        <w:t xml:space="preserve">(5), 428–450. </w:t>
      </w:r>
      <w:hyperlink r:id="rId18" w:history="1">
        <w:r w:rsidRPr="00280CCF">
          <w:rPr>
            <w:rStyle w:val="Hyperlink"/>
            <w:rFonts w:ascii="Calibri" w:eastAsia="Calibri" w:hAnsi="Calibri" w:cs="Calibri"/>
          </w:rPr>
          <w:t>https://doi.org/10.1016/j.cpr.2014.06.004</w:t>
        </w:r>
      </w:hyperlink>
    </w:p>
    <w:p w14:paraId="5930BF8D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proofErr w:type="spellStart"/>
      <w:r w:rsidRPr="00280CCF">
        <w:rPr>
          <w:rFonts w:ascii="Calibri" w:eastAsia="Calibri" w:hAnsi="Calibri" w:cs="Calibri"/>
        </w:rPr>
        <w:t>Ifeagwazi</w:t>
      </w:r>
      <w:proofErr w:type="spellEnd"/>
      <w:r w:rsidRPr="00280CCF">
        <w:rPr>
          <w:rFonts w:ascii="Calibri" w:eastAsia="Calibri" w:hAnsi="Calibri" w:cs="Calibri"/>
        </w:rPr>
        <w:t xml:space="preserve">, C. M., </w:t>
      </w:r>
      <w:proofErr w:type="spellStart"/>
      <w:r w:rsidRPr="00280CCF">
        <w:rPr>
          <w:rFonts w:ascii="Calibri" w:eastAsia="Calibri" w:hAnsi="Calibri" w:cs="Calibri"/>
        </w:rPr>
        <w:t>Chukwuorji</w:t>
      </w:r>
      <w:proofErr w:type="spellEnd"/>
      <w:r w:rsidRPr="00280CCF">
        <w:rPr>
          <w:rFonts w:ascii="Calibri" w:eastAsia="Calibri" w:hAnsi="Calibri" w:cs="Calibri"/>
        </w:rPr>
        <w:t xml:space="preserve">, J. C., &amp; Zacchaeus, E. A. (2021). Mistrust and treatment engagement: Barriers among involuntary clients in substance use treatment. </w:t>
      </w:r>
      <w:r w:rsidRPr="00280CCF">
        <w:rPr>
          <w:rFonts w:ascii="Calibri" w:eastAsia="Calibri" w:hAnsi="Calibri" w:cs="Calibri"/>
          <w:i/>
          <w:iCs/>
        </w:rPr>
        <w:t>Journal of Substance Use, 26</w:t>
      </w:r>
      <w:r w:rsidRPr="00280CCF">
        <w:rPr>
          <w:rFonts w:ascii="Calibri" w:eastAsia="Calibri" w:hAnsi="Calibri" w:cs="Calibri"/>
        </w:rPr>
        <w:t xml:space="preserve">(4), 359–365. </w:t>
      </w:r>
      <w:hyperlink r:id="rId19" w:history="1">
        <w:r w:rsidRPr="00280CCF">
          <w:rPr>
            <w:rStyle w:val="Hyperlink"/>
            <w:rFonts w:ascii="Calibri" w:eastAsia="Calibri" w:hAnsi="Calibri" w:cs="Calibri"/>
          </w:rPr>
          <w:t>https://doi.org/10.1080/14659891.2020.1832895</w:t>
        </w:r>
      </w:hyperlink>
    </w:p>
    <w:p w14:paraId="3E317212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>Kindred Healthcare. (2021). The relationship between patient engagement and total cost of care. Kindred at Home.</w:t>
      </w:r>
    </w:p>
    <w:p w14:paraId="09F1F1F6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Kreyenbuhl, J., </w:t>
      </w:r>
      <w:proofErr w:type="spellStart"/>
      <w:r w:rsidRPr="00280CCF">
        <w:rPr>
          <w:rFonts w:ascii="Calibri" w:eastAsia="Calibri" w:hAnsi="Calibri" w:cs="Calibri"/>
        </w:rPr>
        <w:t>Nossel</w:t>
      </w:r>
      <w:proofErr w:type="spellEnd"/>
      <w:r w:rsidRPr="00280CCF">
        <w:rPr>
          <w:rFonts w:ascii="Calibri" w:eastAsia="Calibri" w:hAnsi="Calibri" w:cs="Calibri"/>
        </w:rPr>
        <w:t xml:space="preserve">, I. R., &amp; Dixon, L. B. (2009). Disengagement from mental health treatment among individuals with schizophrenia and strategies for facilitating connections to care. </w:t>
      </w:r>
      <w:r w:rsidRPr="00280CCF">
        <w:rPr>
          <w:rFonts w:ascii="Calibri" w:eastAsia="Calibri" w:hAnsi="Calibri" w:cs="Calibri"/>
          <w:i/>
          <w:iCs/>
        </w:rPr>
        <w:t>Schizophrenia Bulletin, 35</w:t>
      </w:r>
      <w:r w:rsidRPr="00280CCF">
        <w:rPr>
          <w:rFonts w:ascii="Calibri" w:eastAsia="Calibri" w:hAnsi="Calibri" w:cs="Calibri"/>
        </w:rPr>
        <w:t xml:space="preserve">(4), 696–703. </w:t>
      </w:r>
      <w:hyperlink r:id="rId20" w:history="1">
        <w:r w:rsidRPr="00280CCF">
          <w:rPr>
            <w:rStyle w:val="Hyperlink"/>
            <w:rFonts w:ascii="Calibri" w:eastAsia="Calibri" w:hAnsi="Calibri" w:cs="Calibri"/>
          </w:rPr>
          <w:t>https://doi.org/10.1093/schbul/sbp046</w:t>
        </w:r>
      </w:hyperlink>
    </w:p>
    <w:p w14:paraId="21DC208B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proofErr w:type="spellStart"/>
      <w:r w:rsidRPr="00280CCF">
        <w:rPr>
          <w:rFonts w:ascii="Calibri" w:eastAsia="Calibri" w:hAnsi="Calibri" w:cs="Calibri"/>
        </w:rPr>
        <w:t>Langabeer</w:t>
      </w:r>
      <w:proofErr w:type="spellEnd"/>
      <w:r w:rsidRPr="00280CCF">
        <w:rPr>
          <w:rFonts w:ascii="Calibri" w:eastAsia="Calibri" w:hAnsi="Calibri" w:cs="Calibri"/>
        </w:rPr>
        <w:t>, J. R., Chambers, K. A., Cardenas-</w:t>
      </w:r>
      <w:proofErr w:type="spellStart"/>
      <w:r w:rsidRPr="00280CCF">
        <w:rPr>
          <w:rFonts w:ascii="Calibri" w:eastAsia="Calibri" w:hAnsi="Calibri" w:cs="Calibri"/>
        </w:rPr>
        <w:t>Turanzas</w:t>
      </w:r>
      <w:proofErr w:type="spellEnd"/>
      <w:r w:rsidRPr="00280CCF">
        <w:rPr>
          <w:rFonts w:ascii="Calibri" w:eastAsia="Calibri" w:hAnsi="Calibri" w:cs="Calibri"/>
        </w:rPr>
        <w:t xml:space="preserve">, M., &amp; </w:t>
      </w:r>
      <w:proofErr w:type="spellStart"/>
      <w:r w:rsidRPr="00280CCF">
        <w:rPr>
          <w:rFonts w:ascii="Calibri" w:eastAsia="Calibri" w:hAnsi="Calibri" w:cs="Calibri"/>
        </w:rPr>
        <w:t>Yatsco</w:t>
      </w:r>
      <w:proofErr w:type="spellEnd"/>
      <w:r w:rsidRPr="00280CCF">
        <w:rPr>
          <w:rFonts w:ascii="Calibri" w:eastAsia="Calibri" w:hAnsi="Calibri" w:cs="Calibri"/>
        </w:rPr>
        <w:t xml:space="preserve">, A. (2025). Community health worker interventions for opioid use disorder: A systematic review. </w:t>
      </w:r>
      <w:r w:rsidRPr="00280CCF">
        <w:rPr>
          <w:rFonts w:ascii="Calibri" w:eastAsia="Calibri" w:hAnsi="Calibri" w:cs="Calibri"/>
          <w:i/>
          <w:iCs/>
        </w:rPr>
        <w:t>Journal of Substance Abuse Treatment, 160</w:t>
      </w:r>
      <w:r w:rsidRPr="00280CCF">
        <w:rPr>
          <w:rFonts w:ascii="Calibri" w:eastAsia="Calibri" w:hAnsi="Calibri" w:cs="Calibri"/>
        </w:rPr>
        <w:t xml:space="preserve">, Article 109370. </w:t>
      </w:r>
      <w:hyperlink r:id="rId21" w:history="1">
        <w:r w:rsidRPr="00280CCF">
          <w:rPr>
            <w:rStyle w:val="Hyperlink"/>
            <w:rFonts w:ascii="Calibri" w:eastAsia="Calibri" w:hAnsi="Calibri" w:cs="Calibri"/>
          </w:rPr>
          <w:t>https://doi.org/10.1016/j.jsat.2024.109370</w:t>
        </w:r>
      </w:hyperlink>
    </w:p>
    <w:p w14:paraId="14D9347D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lastRenderedPageBreak/>
        <w:t xml:space="preserve">Luciano, A., Nicholson, J., &amp; Meara, E. (2023). Coercive practices in addiction treatment and their effects on stigma and self-esteem. </w:t>
      </w:r>
      <w:r w:rsidRPr="00280CCF">
        <w:rPr>
          <w:rFonts w:ascii="Calibri" w:eastAsia="Calibri" w:hAnsi="Calibri" w:cs="Calibri"/>
          <w:i/>
          <w:iCs/>
        </w:rPr>
        <w:t>Psychiatric Services, 74</w:t>
      </w:r>
      <w:r w:rsidRPr="00280CCF">
        <w:rPr>
          <w:rFonts w:ascii="Calibri" w:eastAsia="Calibri" w:hAnsi="Calibri" w:cs="Calibri"/>
        </w:rPr>
        <w:t xml:space="preserve">(3), 244–251. </w:t>
      </w:r>
      <w:hyperlink r:id="rId22" w:history="1">
        <w:r w:rsidRPr="00280CCF">
          <w:rPr>
            <w:rStyle w:val="Hyperlink"/>
            <w:rFonts w:ascii="Calibri" w:eastAsia="Calibri" w:hAnsi="Calibri" w:cs="Calibri"/>
          </w:rPr>
          <w:t>https://doi.org/10.1176/appi.ps.202100657</w:t>
        </w:r>
      </w:hyperlink>
    </w:p>
    <w:p w14:paraId="6BBF5787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National Institute on Drug Abuse. (n.d.). Principles of drug addiction treatment: A research-based guide (3rd ed.). National Institutes of Health. </w:t>
      </w:r>
      <w:hyperlink r:id="rId23" w:history="1">
        <w:r w:rsidRPr="00280CCF">
          <w:rPr>
            <w:rStyle w:val="Hyperlink"/>
            <w:rFonts w:ascii="Calibri" w:eastAsia="Calibri" w:hAnsi="Calibri" w:cs="Calibri"/>
          </w:rPr>
          <w:t>https://nida.nih.gov/publications/principles-drug-addiction-treatment-research-based-guide-third-edition</w:t>
        </w:r>
      </w:hyperlink>
    </w:p>
    <w:p w14:paraId="268DD81F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Park, S., &amp; Berkowitz, S. A. (2024). Social determinants of health and substance use disorder treatment outcomes: A systematic review. </w:t>
      </w:r>
      <w:r w:rsidRPr="00280CCF">
        <w:rPr>
          <w:rFonts w:ascii="Calibri" w:eastAsia="Calibri" w:hAnsi="Calibri" w:cs="Calibri"/>
          <w:i/>
          <w:iCs/>
        </w:rPr>
        <w:t>Substance Abuse, 45</w:t>
      </w:r>
      <w:r w:rsidRPr="00280CCF">
        <w:rPr>
          <w:rFonts w:ascii="Calibri" w:eastAsia="Calibri" w:hAnsi="Calibri" w:cs="Calibri"/>
        </w:rPr>
        <w:t xml:space="preserve">(1), 1–14. </w:t>
      </w:r>
      <w:hyperlink r:id="rId24" w:history="1">
        <w:r w:rsidRPr="00280CCF">
          <w:rPr>
            <w:rStyle w:val="Hyperlink"/>
            <w:rFonts w:ascii="Calibri" w:eastAsia="Calibri" w:hAnsi="Calibri" w:cs="Calibri"/>
          </w:rPr>
          <w:t>https://doi.org/10.1080/08897077.2024.2301234</w:t>
        </w:r>
      </w:hyperlink>
    </w:p>
    <w:p w14:paraId="2AA8DD54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Pew Charitable Trusts. (2020). Medication-assisted treatment improves outcomes for patients with opioid use disorder. </w:t>
      </w:r>
      <w:hyperlink r:id="rId25" w:history="1">
        <w:r w:rsidRPr="00280CCF">
          <w:rPr>
            <w:rStyle w:val="Hyperlink"/>
            <w:rFonts w:ascii="Calibri" w:eastAsia="Calibri" w:hAnsi="Calibri" w:cs="Calibri"/>
          </w:rPr>
          <w:t>https://www.pewtrusts.org/en/research-and-analysis/issue-briefs/2020/11/medication-assisted-treatment-improves-outcomes-for-patients-with-opioid-use-disorder</w:t>
        </w:r>
      </w:hyperlink>
    </w:p>
    <w:p w14:paraId="2B3F9E9B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Rattray, N. A., </w:t>
      </w:r>
      <w:proofErr w:type="spellStart"/>
      <w:r w:rsidRPr="00280CCF">
        <w:rPr>
          <w:rFonts w:ascii="Calibri" w:eastAsia="Calibri" w:hAnsi="Calibri" w:cs="Calibri"/>
        </w:rPr>
        <w:t>Damush</w:t>
      </w:r>
      <w:proofErr w:type="spellEnd"/>
      <w:r w:rsidRPr="00280CCF">
        <w:rPr>
          <w:rFonts w:ascii="Calibri" w:eastAsia="Calibri" w:hAnsi="Calibri" w:cs="Calibri"/>
        </w:rPr>
        <w:t xml:space="preserve">, T. M., Miech, E. J., </w:t>
      </w:r>
      <w:proofErr w:type="spellStart"/>
      <w:r w:rsidRPr="00280CCF">
        <w:rPr>
          <w:rFonts w:ascii="Calibri" w:eastAsia="Calibri" w:hAnsi="Calibri" w:cs="Calibri"/>
        </w:rPr>
        <w:t>Homoya</w:t>
      </w:r>
      <w:proofErr w:type="spellEnd"/>
      <w:r w:rsidRPr="00280CCF">
        <w:rPr>
          <w:rFonts w:ascii="Calibri" w:eastAsia="Calibri" w:hAnsi="Calibri" w:cs="Calibri"/>
        </w:rPr>
        <w:t xml:space="preserve">, B., Meeker, J., &amp; Myers, L. J. (2022). Beyond the blueprint: Mechanisms for spreading and sustaining care coordination innovations. </w:t>
      </w:r>
      <w:r w:rsidRPr="00280CCF">
        <w:rPr>
          <w:rFonts w:ascii="Calibri" w:eastAsia="Calibri" w:hAnsi="Calibri" w:cs="Calibri"/>
          <w:i/>
          <w:iCs/>
        </w:rPr>
        <w:t>Journal of General Internal Medicine, 37</w:t>
      </w:r>
      <w:r w:rsidRPr="00280CCF">
        <w:rPr>
          <w:rFonts w:ascii="Calibri" w:eastAsia="Calibri" w:hAnsi="Calibri" w:cs="Calibri"/>
        </w:rPr>
        <w:t xml:space="preserve">(Suppl 1), 147–155. </w:t>
      </w:r>
      <w:hyperlink r:id="rId26" w:history="1">
        <w:r w:rsidRPr="00280CCF">
          <w:rPr>
            <w:rStyle w:val="Hyperlink"/>
            <w:rFonts w:ascii="Calibri" w:eastAsia="Calibri" w:hAnsi="Calibri" w:cs="Calibri"/>
          </w:rPr>
          <w:t>https://doi.org/10.1007/s11606-021-07230-7</w:t>
        </w:r>
      </w:hyperlink>
    </w:p>
    <w:p w14:paraId="42B477E6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Sheridan, S. L., Harris, R. P., &amp; Woolf, S. H. (2020). Shared decision making about screening and chemoprevention. </w:t>
      </w:r>
      <w:r w:rsidRPr="00280CCF">
        <w:rPr>
          <w:rFonts w:ascii="Calibri" w:eastAsia="Calibri" w:hAnsi="Calibri" w:cs="Calibri"/>
          <w:i/>
          <w:iCs/>
        </w:rPr>
        <w:t>American Journal of Preventive Medicine, 26</w:t>
      </w:r>
      <w:r w:rsidRPr="00280CCF">
        <w:rPr>
          <w:rFonts w:ascii="Calibri" w:eastAsia="Calibri" w:hAnsi="Calibri" w:cs="Calibri"/>
        </w:rPr>
        <w:t xml:space="preserve">(1), 56–66. </w:t>
      </w:r>
      <w:hyperlink r:id="rId27" w:history="1">
        <w:r w:rsidRPr="00280CCF">
          <w:rPr>
            <w:rStyle w:val="Hyperlink"/>
            <w:rFonts w:ascii="Calibri" w:eastAsia="Calibri" w:hAnsi="Calibri" w:cs="Calibri"/>
          </w:rPr>
          <w:t>https://doi.org/10.1016/s0749-3797(03)00250-0</w:t>
        </w:r>
      </w:hyperlink>
    </w:p>
    <w:p w14:paraId="2068995C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proofErr w:type="spellStart"/>
      <w:r w:rsidRPr="00280CCF">
        <w:rPr>
          <w:rFonts w:ascii="Calibri" w:eastAsia="Calibri" w:hAnsi="Calibri" w:cs="Calibri"/>
        </w:rPr>
        <w:t>Stanojlović</w:t>
      </w:r>
      <w:proofErr w:type="spellEnd"/>
      <w:r w:rsidRPr="00280CCF">
        <w:rPr>
          <w:rFonts w:ascii="Calibri" w:eastAsia="Calibri" w:hAnsi="Calibri" w:cs="Calibri"/>
        </w:rPr>
        <w:t xml:space="preserve">, M., &amp; Davidson, L. (2021). Targeting the barriers in the substance use disorder continuum of care with peer recovery support. </w:t>
      </w:r>
      <w:r w:rsidRPr="00280CCF">
        <w:rPr>
          <w:rFonts w:ascii="Calibri" w:eastAsia="Calibri" w:hAnsi="Calibri" w:cs="Calibri"/>
          <w:i/>
          <w:iCs/>
        </w:rPr>
        <w:t>SAGE Open Medicine, 9</w:t>
      </w:r>
      <w:r w:rsidRPr="00280CCF">
        <w:rPr>
          <w:rFonts w:ascii="Calibri" w:eastAsia="Calibri" w:hAnsi="Calibri" w:cs="Calibri"/>
        </w:rPr>
        <w:t xml:space="preserve">, 1–18. </w:t>
      </w:r>
      <w:hyperlink r:id="rId28" w:history="1">
        <w:r w:rsidRPr="00280CCF">
          <w:rPr>
            <w:rStyle w:val="Hyperlink"/>
            <w:rFonts w:ascii="Calibri" w:eastAsia="Calibri" w:hAnsi="Calibri" w:cs="Calibri"/>
          </w:rPr>
          <w:t>https://doi.org/10.1177/1178221820976988</w:t>
        </w:r>
      </w:hyperlink>
    </w:p>
    <w:p w14:paraId="67D019FD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Substance Abuse and Mental Health Services Administration. (2019). Enhancing motivation for change in substance use disorder treatment (Treatment Improvement Protocol Series 35). U.S. Department of Health and Human Services. </w:t>
      </w:r>
      <w:hyperlink r:id="rId29" w:history="1">
        <w:r w:rsidRPr="00280CCF">
          <w:rPr>
            <w:rStyle w:val="Hyperlink"/>
            <w:rFonts w:ascii="Calibri" w:eastAsia="Calibri" w:hAnsi="Calibri" w:cs="Calibri"/>
          </w:rPr>
          <w:t>https://store.samhsa.gov/product/tip-35-enhancing-motivation-change-substance-use-disorder-treatment/PEP19-02-01-003</w:t>
        </w:r>
      </w:hyperlink>
    </w:p>
    <w:p w14:paraId="3581E843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Substance Abuse and Mental Health Services Administration. (n.d.). Recovery and recovery support. U.S. Department of Health and Human Services. </w:t>
      </w:r>
      <w:hyperlink r:id="rId30" w:history="1">
        <w:r w:rsidRPr="00280CCF">
          <w:rPr>
            <w:rStyle w:val="Hyperlink"/>
            <w:rFonts w:ascii="Calibri" w:eastAsia="Calibri" w:hAnsi="Calibri" w:cs="Calibri"/>
          </w:rPr>
          <w:t>https://www.samhsa.gov/find-help/recovery</w:t>
        </w:r>
      </w:hyperlink>
    </w:p>
    <w:p w14:paraId="53B814A7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Tsai, A. C., Kiang, M. V., Barnett, M. L., Beletsky, L., Keyes, K. M., McGinty, E. E., Smith, L. R., Strathdee, S. A., Wakeman, S. E., &amp; Venkataramani, A. S. (2019). Stigma as a fundamental hindrance to the United States opioid overdose crisis response. </w:t>
      </w:r>
      <w:r w:rsidRPr="00280CCF">
        <w:rPr>
          <w:rFonts w:ascii="Calibri" w:eastAsia="Calibri" w:hAnsi="Calibri" w:cs="Calibri"/>
          <w:i/>
          <w:iCs/>
        </w:rPr>
        <w:t>PLOS Medicine, 16</w:t>
      </w:r>
      <w:r w:rsidRPr="00280CCF">
        <w:rPr>
          <w:rFonts w:ascii="Calibri" w:eastAsia="Calibri" w:hAnsi="Calibri" w:cs="Calibri"/>
        </w:rPr>
        <w:t xml:space="preserve">(11), Article e1002969. </w:t>
      </w:r>
      <w:hyperlink r:id="rId31" w:history="1">
        <w:r w:rsidRPr="00280CCF">
          <w:rPr>
            <w:rStyle w:val="Hyperlink"/>
            <w:rFonts w:ascii="Calibri" w:eastAsia="Calibri" w:hAnsi="Calibri" w:cs="Calibri"/>
          </w:rPr>
          <w:t>https://doi.org/10.1371/journal.pmed.1002969</w:t>
        </w:r>
      </w:hyperlink>
    </w:p>
    <w:p w14:paraId="57FD1AFD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Vipond, R., Bhatt, M., Amlung, M., &amp; MacKillop, J. (2023). Co-occurring mental health disorders and substance use disorder treatment dropout: A systematic review and meta-analysis. </w:t>
      </w:r>
      <w:r w:rsidRPr="00280CCF">
        <w:rPr>
          <w:rFonts w:ascii="Calibri" w:eastAsia="Calibri" w:hAnsi="Calibri" w:cs="Calibri"/>
          <w:i/>
          <w:iCs/>
        </w:rPr>
        <w:t>Drug and Alcohol Dependence, 243</w:t>
      </w:r>
      <w:r w:rsidRPr="00280CCF">
        <w:rPr>
          <w:rFonts w:ascii="Calibri" w:eastAsia="Calibri" w:hAnsi="Calibri" w:cs="Calibri"/>
        </w:rPr>
        <w:t xml:space="preserve">, Article 109740. </w:t>
      </w:r>
      <w:hyperlink r:id="rId32" w:history="1">
        <w:r w:rsidRPr="00280CCF">
          <w:rPr>
            <w:rStyle w:val="Hyperlink"/>
            <w:rFonts w:ascii="Calibri" w:eastAsia="Calibri" w:hAnsi="Calibri" w:cs="Calibri"/>
          </w:rPr>
          <w:t>https://doi.org/10.1016/j.drugalcdep.2022.109740</w:t>
        </w:r>
      </w:hyperlink>
    </w:p>
    <w:p w14:paraId="24015153" w14:textId="77777777" w:rsidR="00280CCF" w:rsidRPr="00280CCF" w:rsidRDefault="00280CCF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  <w:r w:rsidRPr="00280CCF">
        <w:rPr>
          <w:rFonts w:ascii="Calibri" w:eastAsia="Calibri" w:hAnsi="Calibri" w:cs="Calibri"/>
        </w:rPr>
        <w:t xml:space="preserve">Wakeman, S. E., Larochelle, M. R., Ameli, O., Chaisson, C. E., McPheeters, J. T., Crown, W. H., Azocar, F., &amp; Sanghavi, D. M. (2020). Comparative effectiveness of different treatment pathways for opioid use disorder. </w:t>
      </w:r>
      <w:r w:rsidRPr="00280CCF">
        <w:rPr>
          <w:rFonts w:ascii="Calibri" w:eastAsia="Calibri" w:hAnsi="Calibri" w:cs="Calibri"/>
          <w:i/>
          <w:iCs/>
        </w:rPr>
        <w:t>JAMA Network Open, 3</w:t>
      </w:r>
      <w:r w:rsidRPr="00280CCF">
        <w:rPr>
          <w:rFonts w:ascii="Calibri" w:eastAsia="Calibri" w:hAnsi="Calibri" w:cs="Calibri"/>
        </w:rPr>
        <w:t xml:space="preserve">(2), Article e1920622. </w:t>
      </w:r>
      <w:hyperlink r:id="rId33" w:history="1">
        <w:r w:rsidRPr="00280CCF">
          <w:rPr>
            <w:rStyle w:val="Hyperlink"/>
            <w:rFonts w:ascii="Calibri" w:eastAsia="Calibri" w:hAnsi="Calibri" w:cs="Calibri"/>
          </w:rPr>
          <w:t>https://doi.org/10.1001/jamanetworkopen.2019.20622</w:t>
        </w:r>
      </w:hyperlink>
    </w:p>
    <w:p w14:paraId="75035771" w14:textId="5970B6C8" w:rsidR="075F8738" w:rsidRPr="00280CCF" w:rsidRDefault="075F8738" w:rsidP="00280CCF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</w:rPr>
      </w:pPr>
    </w:p>
    <w:sectPr w:rsidR="075F8738" w:rsidRPr="00280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7A0"/>
    <w:multiLevelType w:val="multilevel"/>
    <w:tmpl w:val="C3F4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4180"/>
    <w:multiLevelType w:val="hybridMultilevel"/>
    <w:tmpl w:val="C9BA981E"/>
    <w:lvl w:ilvl="0" w:tplc="6470A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4C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C0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69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60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EA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7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C0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B23"/>
    <w:multiLevelType w:val="hybridMultilevel"/>
    <w:tmpl w:val="86D2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E7C"/>
    <w:multiLevelType w:val="multilevel"/>
    <w:tmpl w:val="60B0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350C"/>
    <w:multiLevelType w:val="multilevel"/>
    <w:tmpl w:val="A90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E11E7"/>
    <w:multiLevelType w:val="multilevel"/>
    <w:tmpl w:val="11E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812AD6"/>
    <w:multiLevelType w:val="hybridMultilevel"/>
    <w:tmpl w:val="95206CE8"/>
    <w:lvl w:ilvl="0" w:tplc="5AC4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2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85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4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8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7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A1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A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5D75"/>
    <w:multiLevelType w:val="multilevel"/>
    <w:tmpl w:val="1B7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00F89"/>
    <w:multiLevelType w:val="multilevel"/>
    <w:tmpl w:val="4BC8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29F49"/>
    <w:multiLevelType w:val="hybridMultilevel"/>
    <w:tmpl w:val="E064F756"/>
    <w:lvl w:ilvl="0" w:tplc="6486E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CE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C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CF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E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8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44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27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57C"/>
    <w:multiLevelType w:val="multilevel"/>
    <w:tmpl w:val="3B9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C08CA"/>
    <w:multiLevelType w:val="multilevel"/>
    <w:tmpl w:val="A01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A68DF"/>
    <w:multiLevelType w:val="multilevel"/>
    <w:tmpl w:val="21A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992806">
    <w:abstractNumId w:val="1"/>
  </w:num>
  <w:num w:numId="2" w16cid:durableId="2017074179">
    <w:abstractNumId w:val="8"/>
  </w:num>
  <w:num w:numId="3" w16cid:durableId="718241279">
    <w:abstractNumId w:val="13"/>
  </w:num>
  <w:num w:numId="4" w16cid:durableId="1977904145">
    <w:abstractNumId w:val="14"/>
  </w:num>
  <w:num w:numId="5" w16cid:durableId="1604535445">
    <w:abstractNumId w:val="10"/>
  </w:num>
  <w:num w:numId="6" w16cid:durableId="543834948">
    <w:abstractNumId w:val="11"/>
  </w:num>
  <w:num w:numId="7" w16cid:durableId="179052266">
    <w:abstractNumId w:val="5"/>
  </w:num>
  <w:num w:numId="8" w16cid:durableId="1359509561">
    <w:abstractNumId w:val="7"/>
  </w:num>
  <w:num w:numId="9" w16cid:durableId="1965228903">
    <w:abstractNumId w:val="17"/>
  </w:num>
  <w:num w:numId="10" w16cid:durableId="641348457">
    <w:abstractNumId w:val="12"/>
  </w:num>
  <w:num w:numId="11" w16cid:durableId="230963984">
    <w:abstractNumId w:val="16"/>
  </w:num>
  <w:num w:numId="12" w16cid:durableId="332876943">
    <w:abstractNumId w:val="6"/>
  </w:num>
  <w:num w:numId="13" w16cid:durableId="326640918">
    <w:abstractNumId w:val="15"/>
  </w:num>
  <w:num w:numId="14" w16cid:durableId="1925410306">
    <w:abstractNumId w:val="2"/>
  </w:num>
  <w:num w:numId="15" w16cid:durableId="352805117">
    <w:abstractNumId w:val="3"/>
  </w:num>
  <w:num w:numId="16" w16cid:durableId="1769347965">
    <w:abstractNumId w:val="0"/>
  </w:num>
  <w:num w:numId="17" w16cid:durableId="968979223">
    <w:abstractNumId w:val="9"/>
  </w:num>
  <w:num w:numId="18" w16cid:durableId="11468988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4000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26C3"/>
    <w:rsid w:val="0009670D"/>
    <w:rsid w:val="00096D76"/>
    <w:rsid w:val="00097437"/>
    <w:rsid w:val="000974D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5A3E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15D7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0CCF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66A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4F1F08"/>
    <w:rsid w:val="00505BFA"/>
    <w:rsid w:val="0051476C"/>
    <w:rsid w:val="00524680"/>
    <w:rsid w:val="005279E5"/>
    <w:rsid w:val="005360F4"/>
    <w:rsid w:val="00536567"/>
    <w:rsid w:val="0054451E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5D3B"/>
    <w:rsid w:val="00576DF2"/>
    <w:rsid w:val="00586B35"/>
    <w:rsid w:val="005A04A3"/>
    <w:rsid w:val="005A547C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37F82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77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1894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0B35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1B60"/>
    <w:rsid w:val="009B21BD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23B3"/>
    <w:rsid w:val="00A831E2"/>
    <w:rsid w:val="00A84CBD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32CE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4EAC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07BE"/>
    <w:rsid w:val="00CC6C2C"/>
    <w:rsid w:val="00CD2009"/>
    <w:rsid w:val="00CD4202"/>
    <w:rsid w:val="00CE153D"/>
    <w:rsid w:val="00CE3461"/>
    <w:rsid w:val="00CE52AD"/>
    <w:rsid w:val="00CE7E7C"/>
    <w:rsid w:val="00CF5226"/>
    <w:rsid w:val="00CF652B"/>
    <w:rsid w:val="00CF6C66"/>
    <w:rsid w:val="00D06BCB"/>
    <w:rsid w:val="00D108AE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654E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5A8B"/>
    <w:rsid w:val="00D96487"/>
    <w:rsid w:val="00DA0B51"/>
    <w:rsid w:val="00DA5304"/>
    <w:rsid w:val="00DB1657"/>
    <w:rsid w:val="00DB4A3A"/>
    <w:rsid w:val="00DB6660"/>
    <w:rsid w:val="00DB7817"/>
    <w:rsid w:val="00DC0098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86B48"/>
    <w:rsid w:val="00E90B61"/>
    <w:rsid w:val="00E91DD3"/>
    <w:rsid w:val="00E924E7"/>
    <w:rsid w:val="00E96D93"/>
    <w:rsid w:val="00EA1EB1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63C9C"/>
    <w:rsid w:val="00F7076F"/>
    <w:rsid w:val="00F71E58"/>
    <w:rsid w:val="00F72701"/>
    <w:rsid w:val="00F7407B"/>
    <w:rsid w:val="00F74531"/>
    <w:rsid w:val="00F8094F"/>
    <w:rsid w:val="00F81515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9B52EC9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EEB02B4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C97F57A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9F37516"/>
    <w:rsid w:val="3A3D7F8B"/>
    <w:rsid w:val="3A65993E"/>
    <w:rsid w:val="3A7631F8"/>
    <w:rsid w:val="3BB6D307"/>
    <w:rsid w:val="3CA5E29C"/>
    <w:rsid w:val="3D35D905"/>
    <w:rsid w:val="3E337893"/>
    <w:rsid w:val="3E6139F6"/>
    <w:rsid w:val="3F09AC0B"/>
    <w:rsid w:val="4018E681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2212008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981657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EF963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4BAB92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0C11A0DF-3E36-49A8-9641-25BB903C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sat.2022.108737" TargetMode="External"/><Relationship Id="rId18" Type="http://schemas.openxmlformats.org/officeDocument/2006/relationships/hyperlink" Target="https://doi.org/10.1016/j.cpr.2014.06.004" TargetMode="External"/><Relationship Id="rId26" Type="http://schemas.openxmlformats.org/officeDocument/2006/relationships/hyperlink" Target="https://doi.org/10.1007/s11606-021-07230-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jsat.2024.109370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ms.gov/priorities/innovation/data-and-reports/2023/ah-hrsn-screening-tool" TargetMode="External"/><Relationship Id="rId17" Type="http://schemas.openxmlformats.org/officeDocument/2006/relationships/hyperlink" Target="https://doi.org/10.1080/09540261.2019.1654722" TargetMode="External"/><Relationship Id="rId25" Type="http://schemas.openxmlformats.org/officeDocument/2006/relationships/hyperlink" Target="https://www.pewtrusts.org/en/research-and-analysis/issue-briefs/2020/11/medication-assisted-treatment-improves-outcomes-for-patients-with-opioid-use-disorder" TargetMode="External"/><Relationship Id="rId33" Type="http://schemas.openxmlformats.org/officeDocument/2006/relationships/hyperlink" Target="https://doi.org/10.1001/jamanetworkopen.2019.206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amepre.2017.05.011" TargetMode="External"/><Relationship Id="rId20" Type="http://schemas.openxmlformats.org/officeDocument/2006/relationships/hyperlink" Target="https://doi.org/10.1093/schbul/sbp046" TargetMode="External"/><Relationship Id="rId29" Type="http://schemas.openxmlformats.org/officeDocument/2006/relationships/hyperlink" Target="https://store.samhsa.gov/product/tip-35-enhancing-motivation-change-substance-use-disorder-treatment/PEP19-02-01-0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6/j.cpr.2013.07.007" TargetMode="External"/><Relationship Id="rId24" Type="http://schemas.openxmlformats.org/officeDocument/2006/relationships/hyperlink" Target="https://doi.org/10.1080/08897077.2024.2301234" TargetMode="External"/><Relationship Id="rId32" Type="http://schemas.openxmlformats.org/officeDocument/2006/relationships/hyperlink" Target="https://doi.org/10.1016/j.drugalcdep.2022.1097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86/s13011-022-00466-y" TargetMode="External"/><Relationship Id="rId23" Type="http://schemas.openxmlformats.org/officeDocument/2006/relationships/hyperlink" Target="https://nida.nih.gov/publications/principles-drug-addiction-treatment-research-based-guide-third-edition" TargetMode="External"/><Relationship Id="rId28" Type="http://schemas.openxmlformats.org/officeDocument/2006/relationships/hyperlink" Target="https://doi.org/10.1177/1178221820976988" TargetMode="External"/><Relationship Id="rId10" Type="http://schemas.openxmlformats.org/officeDocument/2006/relationships/hyperlink" Target="https://doi.org/10.1016/j.addbeh.2018.10.032" TargetMode="External"/><Relationship Id="rId19" Type="http://schemas.openxmlformats.org/officeDocument/2006/relationships/hyperlink" Target="https://doi.org/10.1080/14659891.2020.1832895" TargetMode="External"/><Relationship Id="rId31" Type="http://schemas.openxmlformats.org/officeDocument/2006/relationships/hyperlink" Target="https://doi.org/10.1371/journal.pmed.100296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hrq.gov/ncepcr/care/coordination.html" TargetMode="External"/><Relationship Id="rId14" Type="http://schemas.openxmlformats.org/officeDocument/2006/relationships/hyperlink" Target="https://doi.org/10.1377/hlthaff.2023.01051" TargetMode="External"/><Relationship Id="rId22" Type="http://schemas.openxmlformats.org/officeDocument/2006/relationships/hyperlink" Target="https://doi.org/10.1176/appi.ps.202100657" TargetMode="External"/><Relationship Id="rId27" Type="http://schemas.openxmlformats.org/officeDocument/2006/relationships/hyperlink" Target="https://doi.org/10.1016/s0749-3797(03)00250-0" TargetMode="External"/><Relationship Id="rId30" Type="http://schemas.openxmlformats.org/officeDocument/2006/relationships/hyperlink" Target="https://www.samhsa.gov/find-help/recovery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1128e1f3fe45fa585ed5ae7cc5f6de45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c6cc95a6fbcae2d3e19a1eb62a9603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P2A3NJ5CMAVY-993345139-48259</_dlc_DocId>
    <_dlc_DocIdUrl xmlns="e2a3c3e7-7426-4151-8c50-1673f5abcf0a">
      <Url>https://pitt.sharepoint.com/sites/PERU.CHI/_layouts/15/DocIdRedir.aspx?ID=P2A3NJ5CMAVY-993345139-48259</Url>
      <Description>P2A3NJ5CMAVY-993345139-48259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59EE09-66E7-4D70-8C66-B1E565F1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1868</Words>
  <Characters>10651</Characters>
  <Application>Microsoft Office Word</Application>
  <DocSecurity>0</DocSecurity>
  <Lines>88</Lines>
  <Paragraphs>24</Paragraphs>
  <ScaleCrop>false</ScaleCrop>
  <Company>University of Pittsburgh</Company>
  <LinksUpToDate>false</LinksUpToDate>
  <CharactersWithSpaces>12495</CharactersWithSpaces>
  <SharedDoc>false</SharedDoc>
  <HLinks>
    <vt:vector size="150" baseType="variant">
      <vt:variant>
        <vt:i4>6815859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https://doi.org/10.1001/jamanetworkopen.2019.20622</vt:lpwstr>
      </vt:variant>
      <vt:variant>
        <vt:lpwstr/>
      </vt:variant>
      <vt:variant>
        <vt:i4>4718672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https://doi.org/10.1016/j.drugalcdep.2022.109740</vt:lpwstr>
      </vt:variant>
      <vt:variant>
        <vt:lpwstr/>
      </vt:variant>
      <vt:variant>
        <vt:i4>5111882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https://doi.org/10.1371/journal.pmed.1002969</vt:lpwstr>
      </vt:variant>
      <vt:variant>
        <vt:lpwstr/>
      </vt:variant>
      <vt:variant>
        <vt:i4>1310730</vt:i4>
      </vt:variant>
      <vt:variant>
        <vt:i4>63</vt:i4>
      </vt:variant>
      <vt:variant>
        <vt:i4>0</vt:i4>
      </vt:variant>
      <vt:variant>
        <vt:i4>5</vt:i4>
      </vt:variant>
      <vt:variant>
        <vt:lpwstr>https://www.samhsa.gov/find-help/recovery</vt:lpwstr>
      </vt:variant>
      <vt:variant>
        <vt:lpwstr/>
      </vt:variant>
      <vt:variant>
        <vt:i4>4587596</vt:i4>
      </vt:variant>
      <vt:variant>
        <vt:i4>60</vt:i4>
      </vt:variant>
      <vt:variant>
        <vt:i4>0</vt:i4>
      </vt:variant>
      <vt:variant>
        <vt:i4>5</vt:i4>
      </vt:variant>
      <vt:variant>
        <vt:lpwstr>https://store.samhsa.gov/product/tip-35-enhancing-motivation-change-substance-use-disorder-treatment/PEP19-02-01-003</vt:lpwstr>
      </vt:variant>
      <vt:variant>
        <vt:lpwstr/>
      </vt:variant>
      <vt:variant>
        <vt:i4>1114204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https://doi.org/10.1177/1178221820976988</vt:lpwstr>
      </vt:variant>
      <vt:variant>
        <vt:lpwstr/>
      </vt:variant>
      <vt:variant>
        <vt:i4>655362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https://doi.org/10.1016/s0749-3797(03)00250-0</vt:lpwstr>
      </vt:variant>
      <vt:variant>
        <vt:lpwstr/>
      </vt:variant>
      <vt:variant>
        <vt:i4>2490420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https://doi.org/10.1007/s11606-021-07230-7</vt:lpwstr>
      </vt:variant>
      <vt:variant>
        <vt:lpwstr/>
      </vt:variant>
      <vt:variant>
        <vt:i4>4390977</vt:i4>
      </vt:variant>
      <vt:variant>
        <vt:i4>48</vt:i4>
      </vt:variant>
      <vt:variant>
        <vt:i4>0</vt:i4>
      </vt:variant>
      <vt:variant>
        <vt:i4>5</vt:i4>
      </vt:variant>
      <vt:variant>
        <vt:lpwstr>https://www.pewtrusts.org/en/research-and-analysis/issue-briefs/2020/11/medication-assisted-treatment-improves-outcomes-for-patients-with-opioid-use-disorder</vt:lpwstr>
      </vt:variant>
      <vt:variant>
        <vt:lpwstr/>
      </vt:variant>
      <vt:variant>
        <vt:i4>131144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https://doi.org/10.1080/08897077.2024.2301234</vt:lpwstr>
      </vt:variant>
      <vt:variant>
        <vt:lpwstr/>
      </vt:variant>
      <vt:variant>
        <vt:i4>1704000</vt:i4>
      </vt:variant>
      <vt:variant>
        <vt:i4>42</vt:i4>
      </vt:variant>
      <vt:variant>
        <vt:i4>0</vt:i4>
      </vt:variant>
      <vt:variant>
        <vt:i4>5</vt:i4>
      </vt:variant>
      <vt:variant>
        <vt:lpwstr>https://nida.nih.gov/publications/principles-drug-addiction-treatment-research-based-guide-third-edition</vt:lpwstr>
      </vt:variant>
      <vt:variant>
        <vt:lpwstr/>
      </vt:variant>
      <vt:variant>
        <vt:i4>5701655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https://doi.org/10.1176/appi.ps.202100657</vt:lpwstr>
      </vt:variant>
      <vt:variant>
        <vt:lpwstr/>
      </vt:variant>
      <vt:variant>
        <vt:i4>2490408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https://doi.org/10.1016/j.jsat.2024.109370</vt:lpwstr>
      </vt:variant>
      <vt:variant>
        <vt:lpwstr/>
      </vt:variant>
      <vt:variant>
        <vt:i4>4194378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https://doi.org/10.1093/schbul/sbp046</vt:lpwstr>
      </vt:variant>
      <vt:variant>
        <vt:lpwstr/>
      </vt:variant>
      <vt:variant>
        <vt:i4>917577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https://doi.org/10.1080/14659891.2020.1832895</vt:lpwstr>
      </vt:variant>
      <vt:variant>
        <vt:lpwstr/>
      </vt:variant>
      <vt:variant>
        <vt:i4>4718604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https://doi.org/10.1016/j.cpr.2014.06.004</vt:lpwstr>
      </vt:variant>
      <vt:variant>
        <vt:lpwstr/>
      </vt:variant>
      <vt:variant>
        <vt:i4>524365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https://doi.org/10.1080/09540261.2019.1654722</vt:lpwstr>
      </vt:variant>
      <vt:variant>
        <vt:lpwstr/>
      </vt:variant>
      <vt:variant>
        <vt:i4>6094918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https://doi.org/10.1016/j.amepre.2017.05.011</vt:lpwstr>
      </vt:variant>
      <vt:variant>
        <vt:lpwstr/>
      </vt:variant>
      <vt:variant>
        <vt:i4>6422581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https://doi.org/10.1186/s13011-022-00466-y</vt:lpwstr>
      </vt:variant>
      <vt:variant>
        <vt:lpwstr/>
      </vt:variant>
      <vt:variant>
        <vt:i4>6946927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https://doi.org/10.1377/hlthaff.2023.01051</vt:lpwstr>
      </vt:variant>
      <vt:variant>
        <vt:lpwstr/>
      </vt:variant>
      <vt:variant>
        <vt:i4>2424875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https://doi.org/10.1016/j.jsat.2022.108737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https://www.cms.gov/priorities/innovation/data-and-reports/2023/ah-hrsn-screening-tool</vt:lpwstr>
      </vt:variant>
      <vt:variant>
        <vt:lpwstr/>
      </vt:variant>
      <vt:variant>
        <vt:i4>5177357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https://doi.org/10.1016/j.cpr.2013.07.007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https://doi.org/10.1016/j.addbeh.2018.10.032</vt:lpwstr>
      </vt:variant>
      <vt:variant>
        <vt:lpwstr/>
      </vt:variant>
      <vt:variant>
        <vt:i4>2621557</vt:i4>
      </vt:variant>
      <vt:variant>
        <vt:i4>0</vt:i4>
      </vt:variant>
      <vt:variant>
        <vt:i4>0</vt:i4>
      </vt:variant>
      <vt:variant>
        <vt:i4>5</vt:i4>
      </vt:variant>
      <vt:variant>
        <vt:lpwstr>https://www.ahrq.gov/ncepcr/care/coordination.html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5</cp:revision>
  <dcterms:created xsi:type="dcterms:W3CDTF">2026-04-20T18:04:00Z</dcterms:created>
  <dcterms:modified xsi:type="dcterms:W3CDTF">2026-04-21T13:24:00Z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190f4411-3073-4494-81f7-7ff60a57a487</vt:lpwstr>
  </property>
</Properties>
</file>