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7174E" w14:textId="1A29D31D" w:rsidR="4A5CF266" w:rsidRDefault="4A5CF266" w:rsidP="4A5CF266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noProof/>
        </w:rPr>
        <w:drawing>
          <wp:inline distT="0" distB="0" distL="0" distR="0" wp14:anchorId="536AFB61" wp14:editId="6E146D8A">
            <wp:extent cx="5505450" cy="1123950"/>
            <wp:effectExtent l="0" t="0" r="0" b="0"/>
            <wp:docPr id="5942019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20198" name="Picture 5942019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87ABB" w14:textId="09BF5F1F" w:rsidR="4A5CF266" w:rsidRDefault="4A5CF266" w:rsidP="4A5CF266">
      <w:pPr>
        <w:spacing w:after="0" w:line="240" w:lineRule="auto"/>
        <w:rPr>
          <w:rFonts w:ascii="Arial Narrow" w:eastAsia="Arial Narrow" w:hAnsi="Arial Narrow" w:cs="Arial Narrow"/>
          <w:color w:val="000000" w:themeColor="text1"/>
        </w:rPr>
      </w:pPr>
    </w:p>
    <w:p w14:paraId="4EA7D164" w14:textId="107B7D4C" w:rsidR="4A5CF266" w:rsidRDefault="4823B632" w:rsidP="4A5CF266">
      <w:pPr>
        <w:spacing w:after="0" w:line="240" w:lineRule="auto"/>
        <w:jc w:val="center"/>
        <w:rPr>
          <w:rFonts w:ascii="Arial Narrow" w:eastAsia="Arial Narrow" w:hAnsi="Arial Narrow" w:cs="Arial Narrow"/>
          <w:color w:val="000000" w:themeColor="text1"/>
        </w:rPr>
      </w:pPr>
      <w:r w:rsidRPr="4823B632">
        <w:rPr>
          <w:rFonts w:ascii="Arial Narrow" w:eastAsia="Arial Narrow" w:hAnsi="Arial Narrow" w:cs="Arial Narrow"/>
          <w:b/>
          <w:bCs/>
          <w:color w:val="000000" w:themeColor="text1"/>
        </w:rPr>
        <w:t>HealthChoices PCMH Learning Network</w:t>
      </w:r>
    </w:p>
    <w:p w14:paraId="4C94C867" w14:textId="1F119B5C" w:rsidR="4A5CF266" w:rsidRDefault="4823B632" w:rsidP="4823B632">
      <w:pPr>
        <w:spacing w:after="0" w:line="240" w:lineRule="auto"/>
        <w:jc w:val="center"/>
      </w:pPr>
      <w:r w:rsidRPr="4823B632">
        <w:rPr>
          <w:rFonts w:ascii="Arial Narrow" w:eastAsia="Arial Narrow" w:hAnsi="Arial Narrow" w:cs="Arial Narrow"/>
          <w:b/>
          <w:bCs/>
          <w:color w:val="000000" w:themeColor="text1"/>
        </w:rPr>
        <w:t>September Supplemental Learning Session</w:t>
      </w:r>
    </w:p>
    <w:p w14:paraId="023384B4" w14:textId="457A5200" w:rsidR="4A5CF266" w:rsidRDefault="4823B632" w:rsidP="4823B632">
      <w:pPr>
        <w:spacing w:after="0" w:line="240" w:lineRule="auto"/>
        <w:jc w:val="center"/>
        <w:rPr>
          <w:rFonts w:ascii="Arial Narrow" w:eastAsia="Arial Narrow" w:hAnsi="Arial Narrow" w:cs="Arial Narrow"/>
          <w:color w:val="000000" w:themeColor="text1"/>
        </w:rPr>
      </w:pPr>
      <w:r w:rsidRPr="4823B632">
        <w:rPr>
          <w:rFonts w:ascii="Arial Narrow" w:eastAsia="Arial Narrow" w:hAnsi="Arial Narrow" w:cs="Arial Narrow"/>
          <w:b/>
          <w:bCs/>
          <w:color w:val="000000" w:themeColor="text1"/>
          <w:lang w:val="en"/>
        </w:rPr>
        <w:t>Oral Cancer Prevention and Early Detection</w:t>
      </w:r>
      <w:r w:rsidR="4A5CF266">
        <w:br/>
      </w:r>
    </w:p>
    <w:p w14:paraId="6D52FC59" w14:textId="4A40CEFA" w:rsidR="4A5CF266" w:rsidRDefault="4A5CF266" w:rsidP="4A5CF266">
      <w:pPr>
        <w:spacing w:after="0" w:line="240" w:lineRule="auto"/>
        <w:jc w:val="center"/>
        <w:rPr>
          <w:rFonts w:ascii="Arial Narrow" w:eastAsia="Arial Narrow" w:hAnsi="Arial Narrow" w:cs="Arial Narrow"/>
          <w:color w:val="000000" w:themeColor="text1"/>
        </w:rPr>
      </w:pPr>
    </w:p>
    <w:p w14:paraId="4E41E90B" w14:textId="1B49293A" w:rsidR="4A5CF266" w:rsidRDefault="4823B632" w:rsidP="4823B632">
      <w:pPr>
        <w:spacing w:after="0" w:line="240" w:lineRule="auto"/>
        <w:jc w:val="center"/>
        <w:rPr>
          <w:rFonts w:ascii="Arial Narrow" w:eastAsia="Arial Narrow" w:hAnsi="Arial Narrow" w:cs="Arial Narrow"/>
          <w:color w:val="000000" w:themeColor="text1"/>
        </w:rPr>
      </w:pPr>
      <w:r w:rsidRPr="4823B632">
        <w:rPr>
          <w:rFonts w:ascii="Arial Narrow" w:eastAsia="Arial Narrow" w:hAnsi="Arial Narrow" w:cs="Arial Narrow"/>
          <w:b/>
          <w:bCs/>
          <w:color w:val="000000" w:themeColor="text1"/>
          <w:lang w:val="en"/>
        </w:rPr>
        <w:t>Thursday, September 24, 2026</w:t>
      </w:r>
    </w:p>
    <w:p w14:paraId="7A7A6DB7" w14:textId="45A2FB28" w:rsidR="4A5CF266" w:rsidRDefault="4823B632" w:rsidP="4823B632">
      <w:pPr>
        <w:spacing w:after="0" w:line="240" w:lineRule="auto"/>
        <w:jc w:val="center"/>
        <w:rPr>
          <w:rFonts w:ascii="Arial Narrow" w:eastAsia="Arial Narrow" w:hAnsi="Arial Narrow" w:cs="Arial Narrow"/>
          <w:color w:val="000000" w:themeColor="text1"/>
        </w:rPr>
      </w:pPr>
      <w:r w:rsidRPr="4823B632">
        <w:rPr>
          <w:rFonts w:ascii="Arial Narrow" w:eastAsia="Arial Narrow" w:hAnsi="Arial Narrow" w:cs="Arial Narrow"/>
          <w:b/>
          <w:bCs/>
          <w:color w:val="000000" w:themeColor="text1"/>
          <w:lang w:val="en"/>
        </w:rPr>
        <w:t xml:space="preserve">9:00 to 10:00 a.m. via </w:t>
      </w:r>
      <w:hyperlink r:id="rId6">
        <w:r w:rsidRPr="4823B632">
          <w:rPr>
            <w:rStyle w:val="Hyperlink"/>
            <w:b/>
            <w:bCs/>
            <w:lang w:val="en"/>
          </w:rPr>
          <w:t>Zoom</w:t>
        </w:r>
      </w:hyperlink>
    </w:p>
    <w:p w14:paraId="7C4AF5D5" w14:textId="2F48CC21" w:rsidR="4A5CF266" w:rsidRDefault="4A5CF266" w:rsidP="4A5CF266">
      <w:pPr>
        <w:spacing w:after="0" w:line="240" w:lineRule="auto"/>
        <w:rPr>
          <w:rFonts w:ascii="Arial Narrow" w:eastAsia="Arial Narrow" w:hAnsi="Arial Narrow" w:cs="Arial Narrow"/>
          <w:color w:val="FF0000"/>
        </w:rPr>
      </w:pPr>
    </w:p>
    <w:p w14:paraId="4DB3D47A" w14:textId="012D05D4" w:rsidR="4A5CF266" w:rsidRDefault="4A5CF266" w:rsidP="4A5CF266">
      <w:pPr>
        <w:spacing w:after="0" w:line="240" w:lineRule="auto"/>
        <w:rPr>
          <w:rFonts w:ascii="Arial Narrow" w:eastAsia="Arial Narrow" w:hAnsi="Arial Narrow" w:cs="Arial Narrow"/>
          <w:color w:val="0563C1"/>
        </w:rPr>
      </w:pPr>
    </w:p>
    <w:p w14:paraId="0B0D356E" w14:textId="45550022" w:rsidR="4A5CF266" w:rsidRDefault="4A5CF266" w:rsidP="4A5CF266">
      <w:pPr>
        <w:spacing w:after="0" w:line="240" w:lineRule="auto"/>
        <w:rPr>
          <w:rFonts w:ascii="Arial Narrow" w:eastAsia="Arial Narrow" w:hAnsi="Arial Narrow" w:cs="Arial Narrow"/>
          <w:color w:val="000000" w:themeColor="text1"/>
        </w:rPr>
      </w:pPr>
      <w:r w:rsidRPr="4A5CF266">
        <w:rPr>
          <w:rFonts w:ascii="Arial Narrow" w:eastAsia="Arial Narrow" w:hAnsi="Arial Narrow" w:cs="Arial Narrow"/>
          <w:b/>
          <w:bCs/>
          <w:color w:val="000000" w:themeColor="text1"/>
          <w:lang w:val="en"/>
        </w:rPr>
        <w:t xml:space="preserve">Learning Objectives </w:t>
      </w:r>
    </w:p>
    <w:p w14:paraId="04D0A07D" w14:textId="7F8CE1B1" w:rsidR="4A5CF266" w:rsidRDefault="4A5CF266" w:rsidP="4A5CF266">
      <w:pPr>
        <w:spacing w:after="0" w:line="240" w:lineRule="auto"/>
        <w:rPr>
          <w:rFonts w:ascii="Arial Narrow" w:eastAsia="Arial Narrow" w:hAnsi="Arial Narrow" w:cs="Arial Narrow"/>
          <w:color w:val="000000" w:themeColor="text1"/>
        </w:rPr>
      </w:pPr>
    </w:p>
    <w:p w14:paraId="082A2D19" w14:textId="5E90A6DB" w:rsidR="4823B632" w:rsidRDefault="4823B632" w:rsidP="4823B632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eastAsia="Arial Narrow" w:hAnsi="Arial Narrow" w:cs="Arial Narrow"/>
        </w:rPr>
      </w:pPr>
      <w:r w:rsidRPr="4823B632">
        <w:rPr>
          <w:rFonts w:ascii="Arial Narrow" w:eastAsia="Arial Narrow" w:hAnsi="Arial Narrow" w:cs="Arial Narrow"/>
          <w:color w:val="000000" w:themeColor="text1"/>
        </w:rPr>
        <w:t>Describe key epidemiologic and clinical features of oral cancer relevant to primary care practice.</w:t>
      </w:r>
    </w:p>
    <w:p w14:paraId="34CCB5B2" w14:textId="62452D25" w:rsidR="4823B632" w:rsidRDefault="4823B632" w:rsidP="4823B632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eastAsia="Arial Narrow" w:hAnsi="Arial Narrow" w:cs="Arial Narrow"/>
        </w:rPr>
      </w:pPr>
      <w:r w:rsidRPr="4823B632">
        <w:rPr>
          <w:rFonts w:ascii="Arial Narrow" w:eastAsia="Arial Narrow" w:hAnsi="Arial Narrow" w:cs="Arial Narrow"/>
        </w:rPr>
        <w:t>Identify characteristics of oral lesions and examination findings that may indicate increased risk for oral cancer and warrant further evaluation.</w:t>
      </w:r>
    </w:p>
    <w:p w14:paraId="4C4B20E5" w14:textId="6BC4F131" w:rsidR="4823B632" w:rsidRDefault="4823B632" w:rsidP="4823B632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eastAsia="Arial Narrow" w:hAnsi="Arial Narrow" w:cs="Arial Narrow"/>
        </w:rPr>
      </w:pPr>
      <w:r w:rsidRPr="4823B632">
        <w:rPr>
          <w:rFonts w:ascii="Arial Narrow" w:eastAsia="Arial Narrow" w:hAnsi="Arial Narrow" w:cs="Arial Narrow"/>
        </w:rPr>
        <w:t>Discuss approaches to the evaluation and workup of suspected oral cancer, including indications for biopsy and referral.</w:t>
      </w:r>
    </w:p>
    <w:p w14:paraId="44719557" w14:textId="0FE38BF3" w:rsidR="4823B632" w:rsidRDefault="4823B632" w:rsidP="4823B632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eastAsia="Arial Narrow" w:hAnsi="Arial Narrow" w:cs="Arial Narrow"/>
        </w:rPr>
      </w:pPr>
      <w:r w:rsidRPr="4823B632">
        <w:rPr>
          <w:rFonts w:ascii="Arial Narrow" w:eastAsia="Arial Narrow" w:hAnsi="Arial Narrow" w:cs="Arial Narrow"/>
        </w:rPr>
        <w:t>Describe current approaches to oral cancer treatment and the implications of emerging therapies for patient care.</w:t>
      </w:r>
    </w:p>
    <w:p w14:paraId="39E27B8A" w14:textId="70BD1CCD" w:rsidR="4A5CF266" w:rsidRDefault="4A5CF266" w:rsidP="4A5CF266">
      <w:pPr>
        <w:spacing w:after="0" w:line="240" w:lineRule="auto"/>
        <w:rPr>
          <w:rFonts w:ascii="Arial Narrow" w:eastAsia="Arial Narrow" w:hAnsi="Arial Narrow" w:cs="Arial Narrow"/>
          <w:color w:val="000000" w:themeColor="text1"/>
        </w:rPr>
      </w:pPr>
    </w:p>
    <w:p w14:paraId="043FD630" w14:textId="32D450C6" w:rsidR="4A5CF266" w:rsidRDefault="4A5CF266" w:rsidP="4A5CF266">
      <w:pPr>
        <w:spacing w:after="0" w:line="240" w:lineRule="auto"/>
        <w:rPr>
          <w:rFonts w:ascii="Arial Narrow" w:eastAsia="Arial Narrow" w:hAnsi="Arial Narrow" w:cs="Arial Narrow"/>
          <w:color w:val="000000" w:themeColor="text1"/>
        </w:rPr>
      </w:pPr>
      <w:r w:rsidRPr="4A5CF266">
        <w:rPr>
          <w:rFonts w:ascii="Arial Narrow" w:eastAsia="Arial Narrow" w:hAnsi="Arial Narrow" w:cs="Arial Narrow"/>
          <w:b/>
          <w:bCs/>
          <w:color w:val="000000" w:themeColor="text1"/>
          <w:lang w:val="en"/>
        </w:rPr>
        <w:t>Agenda</w:t>
      </w:r>
    </w:p>
    <w:p w14:paraId="602ED94A" w14:textId="06F61505" w:rsidR="4A5CF266" w:rsidRDefault="4A5CF266" w:rsidP="4A5CF266">
      <w:pPr>
        <w:spacing w:after="0" w:line="240" w:lineRule="auto"/>
        <w:rPr>
          <w:rFonts w:ascii="Arial Narrow" w:eastAsia="Arial Narrow" w:hAnsi="Arial Narrow" w:cs="Arial Narrow"/>
          <w:color w:val="000000" w:themeColor="text1"/>
        </w:rPr>
      </w:pPr>
    </w:p>
    <w:p w14:paraId="6364FDDD" w14:textId="2644415C" w:rsidR="4A5CF266" w:rsidRDefault="651260FA" w:rsidP="651260FA">
      <w:pPr>
        <w:spacing w:after="0" w:line="240" w:lineRule="auto"/>
        <w:contextualSpacing/>
        <w:rPr>
          <w:rFonts w:ascii="Arial Narrow" w:eastAsia="Arial Narrow" w:hAnsi="Arial Narrow" w:cs="Arial Narrow"/>
          <w:color w:val="000000" w:themeColor="text1"/>
        </w:rPr>
      </w:pPr>
      <w:r w:rsidRPr="651260FA">
        <w:rPr>
          <w:rFonts w:ascii="Arial Narrow" w:eastAsia="Arial Narrow" w:hAnsi="Arial Narrow" w:cs="Arial Narrow"/>
          <w:color w:val="000000" w:themeColor="text1"/>
          <w:lang w:val="en"/>
        </w:rPr>
        <w:t xml:space="preserve">9:00 a.m. to 9:05 a.m. – </w:t>
      </w:r>
      <w:r w:rsidRPr="651260FA">
        <w:rPr>
          <w:rFonts w:ascii="Arial Narrow" w:eastAsia="Arial Narrow" w:hAnsi="Arial Narrow" w:cs="Arial Narrow"/>
          <w:b/>
          <w:bCs/>
          <w:color w:val="000000" w:themeColor="text1"/>
          <w:lang w:val="en"/>
        </w:rPr>
        <w:t xml:space="preserve">Welcome and Overview </w:t>
      </w:r>
      <w:r w:rsidRPr="651260FA">
        <w:rPr>
          <w:rFonts w:ascii="Arial Narrow" w:eastAsia="Arial Narrow" w:hAnsi="Arial Narrow" w:cs="Arial Narrow"/>
          <w:color w:val="000000" w:themeColor="text1"/>
          <w:lang w:val="en"/>
        </w:rPr>
        <w:t>–</w:t>
      </w:r>
      <w:r w:rsidRPr="651260FA">
        <w:rPr>
          <w:rFonts w:ascii="Arial Narrow" w:eastAsia="Arial Narrow" w:hAnsi="Arial Narrow" w:cs="Arial Narrow"/>
          <w:b/>
          <w:bCs/>
          <w:color w:val="000000" w:themeColor="text1"/>
          <w:lang w:val="en"/>
        </w:rPr>
        <w:t xml:space="preserve"> </w:t>
      </w:r>
      <w:r w:rsidRPr="651260FA">
        <w:rPr>
          <w:rFonts w:ascii="Arial Narrow" w:eastAsia="Arial Narrow" w:hAnsi="Arial Narrow" w:cs="Arial Narrow"/>
          <w:color w:val="000000" w:themeColor="text1"/>
          <w:lang w:val="en"/>
        </w:rPr>
        <w:t>Robert Ferguson, MPH, Chief Policy Officer, Pittsburgh Regional Health Initiative (PRHI)</w:t>
      </w:r>
    </w:p>
    <w:p w14:paraId="2C3EFABB" w14:textId="06909D20" w:rsidR="4A5CF266" w:rsidRDefault="4A5CF266" w:rsidP="4A5CF266">
      <w:pPr>
        <w:spacing w:after="0" w:line="240" w:lineRule="auto"/>
        <w:contextualSpacing/>
        <w:rPr>
          <w:rFonts w:ascii="Arial Narrow" w:eastAsia="Arial Narrow" w:hAnsi="Arial Narrow" w:cs="Arial Narrow"/>
          <w:color w:val="000000" w:themeColor="text1"/>
        </w:rPr>
      </w:pPr>
    </w:p>
    <w:p w14:paraId="21D88370" w14:textId="3E003327" w:rsidR="4A5CF266" w:rsidRDefault="4823B632" w:rsidP="4823B632">
      <w:pPr>
        <w:spacing w:after="0" w:line="240" w:lineRule="auto"/>
        <w:rPr>
          <w:rFonts w:ascii="Arial Narrow" w:eastAsia="Arial Narrow" w:hAnsi="Arial Narrow" w:cs="Arial Narrow"/>
          <w:color w:val="000000" w:themeColor="text1"/>
        </w:rPr>
      </w:pPr>
      <w:r w:rsidRPr="4823B632">
        <w:rPr>
          <w:rFonts w:ascii="Arial Narrow" w:eastAsia="Arial Narrow" w:hAnsi="Arial Narrow" w:cs="Arial Narrow"/>
          <w:color w:val="000000" w:themeColor="text1"/>
        </w:rPr>
        <w:t xml:space="preserve">9:05 a.m. to 9:45 a.m. – </w:t>
      </w:r>
      <w:r w:rsidRPr="4823B632">
        <w:rPr>
          <w:rFonts w:ascii="Arial Narrow" w:eastAsia="Arial Narrow" w:hAnsi="Arial Narrow" w:cs="Arial Narrow"/>
          <w:b/>
          <w:bCs/>
          <w:color w:val="000000" w:themeColor="text1"/>
        </w:rPr>
        <w:t>Oral Cancer Prevention and Early Detection</w:t>
      </w:r>
      <w:r w:rsidRPr="4823B632">
        <w:rPr>
          <w:rFonts w:ascii="Arial Narrow" w:eastAsia="Arial Narrow" w:hAnsi="Arial Narrow" w:cs="Arial Narrow"/>
          <w:color w:val="000000" w:themeColor="text1"/>
        </w:rPr>
        <w:t xml:space="preserve"> – James Gates, DMD, MD, FACS, Assistant Professor of Oral and Maxillofacial Surgery and Pharmacology, Penn Dental Medicine.</w:t>
      </w:r>
    </w:p>
    <w:p w14:paraId="3E15B3B2" w14:textId="62E96EC0" w:rsidR="4A5CF266" w:rsidRDefault="4A5CF266" w:rsidP="130D3A2B">
      <w:pPr>
        <w:spacing w:after="0" w:line="240" w:lineRule="auto"/>
        <w:contextualSpacing/>
        <w:rPr>
          <w:rFonts w:ascii="Arial Narrow" w:eastAsia="Arial Narrow" w:hAnsi="Arial Narrow" w:cs="Arial Narrow"/>
          <w:color w:val="000000" w:themeColor="text1"/>
        </w:rPr>
      </w:pPr>
    </w:p>
    <w:p w14:paraId="396C6DB5" w14:textId="08ACC7F9" w:rsidR="4A5CF266" w:rsidRDefault="651260FA" w:rsidP="651260FA">
      <w:pPr>
        <w:spacing w:after="0" w:line="240" w:lineRule="auto"/>
        <w:contextualSpacing/>
        <w:rPr>
          <w:rFonts w:ascii="Arial Narrow" w:eastAsia="Arial Narrow" w:hAnsi="Arial Narrow" w:cs="Arial Narrow"/>
          <w:color w:val="000000" w:themeColor="text1"/>
        </w:rPr>
      </w:pPr>
      <w:r w:rsidRPr="651260FA">
        <w:rPr>
          <w:rFonts w:ascii="Arial Narrow" w:eastAsia="Arial Narrow" w:hAnsi="Arial Narrow" w:cs="Arial Narrow"/>
          <w:color w:val="000000" w:themeColor="text1"/>
          <w:lang w:val="en"/>
        </w:rPr>
        <w:t xml:space="preserve">9:45 a.m. – 9:55 a.m. – </w:t>
      </w:r>
      <w:r w:rsidRPr="651260FA">
        <w:rPr>
          <w:rFonts w:ascii="Arial Narrow" w:eastAsia="Arial Narrow" w:hAnsi="Arial Narrow" w:cs="Arial Narrow"/>
          <w:b/>
          <w:bCs/>
          <w:color w:val="000000" w:themeColor="text1"/>
          <w:lang w:val="en"/>
        </w:rPr>
        <w:t xml:space="preserve">Q&amp;A </w:t>
      </w:r>
      <w:r w:rsidRPr="651260FA">
        <w:rPr>
          <w:rFonts w:ascii="Arial Narrow" w:eastAsia="Arial Narrow" w:hAnsi="Arial Narrow" w:cs="Arial Narrow"/>
          <w:color w:val="000000" w:themeColor="text1"/>
          <w:lang w:val="en"/>
        </w:rPr>
        <w:t>–</w:t>
      </w:r>
      <w:r w:rsidRPr="651260FA">
        <w:rPr>
          <w:rFonts w:ascii="Arial Narrow" w:eastAsia="Arial Narrow" w:hAnsi="Arial Narrow" w:cs="Arial Narrow"/>
          <w:b/>
          <w:bCs/>
          <w:color w:val="000000" w:themeColor="text1"/>
          <w:lang w:val="en"/>
        </w:rPr>
        <w:t xml:space="preserve"> </w:t>
      </w:r>
      <w:r w:rsidRPr="651260FA">
        <w:rPr>
          <w:rFonts w:ascii="Arial Narrow" w:eastAsia="Arial Narrow" w:hAnsi="Arial Narrow" w:cs="Arial Narrow"/>
          <w:color w:val="000000" w:themeColor="text1"/>
          <w:lang w:val="en"/>
        </w:rPr>
        <w:t>moderated by</w:t>
      </w:r>
      <w:r w:rsidRPr="651260FA">
        <w:rPr>
          <w:rFonts w:ascii="Arial Narrow" w:eastAsia="Arial Narrow" w:hAnsi="Arial Narrow" w:cs="Arial Narrow"/>
          <w:b/>
          <w:bCs/>
          <w:color w:val="000000" w:themeColor="text1"/>
          <w:lang w:val="en"/>
        </w:rPr>
        <w:t xml:space="preserve"> </w:t>
      </w:r>
      <w:r w:rsidRPr="651260FA">
        <w:rPr>
          <w:rFonts w:ascii="Arial Narrow" w:eastAsia="Arial Narrow" w:hAnsi="Arial Narrow" w:cs="Arial Narrow"/>
          <w:color w:val="000000" w:themeColor="text1"/>
          <w:lang w:val="en"/>
        </w:rPr>
        <w:t>Robert Ferguson, MPH, Chief Policy Officer, Pittsburgh Regional Health Initiative (PRHI)</w:t>
      </w:r>
    </w:p>
    <w:p w14:paraId="06F7786E" w14:textId="3DFD0793" w:rsidR="4A5CF266" w:rsidRDefault="4A5CF266" w:rsidP="4A5CF266">
      <w:pPr>
        <w:spacing w:after="0" w:line="240" w:lineRule="auto"/>
        <w:contextualSpacing/>
        <w:rPr>
          <w:rFonts w:ascii="Arial Narrow" w:eastAsia="Arial Narrow" w:hAnsi="Arial Narrow" w:cs="Arial Narrow"/>
          <w:color w:val="000000" w:themeColor="text1"/>
        </w:rPr>
      </w:pPr>
    </w:p>
    <w:p w14:paraId="229B458F" w14:textId="0E60BAD5" w:rsidR="4A5CF266" w:rsidRDefault="651260FA" w:rsidP="651260FA">
      <w:pPr>
        <w:spacing w:after="0" w:line="240" w:lineRule="auto"/>
        <w:contextualSpacing/>
        <w:rPr>
          <w:rFonts w:ascii="Arial Narrow" w:eastAsia="Arial Narrow" w:hAnsi="Arial Narrow" w:cs="Arial Narrow"/>
          <w:color w:val="000000" w:themeColor="text1"/>
        </w:rPr>
      </w:pPr>
      <w:r w:rsidRPr="651260FA">
        <w:rPr>
          <w:rFonts w:ascii="Arial Narrow" w:eastAsia="Arial Narrow" w:hAnsi="Arial Narrow" w:cs="Arial Narrow"/>
          <w:color w:val="000000" w:themeColor="text1"/>
          <w:lang w:val="en"/>
        </w:rPr>
        <w:t>9:55 a.m. to 10:00 a.m. –</w:t>
      </w:r>
      <w:r w:rsidRPr="651260FA">
        <w:rPr>
          <w:rFonts w:ascii="Arial Narrow" w:eastAsia="Arial Narrow" w:hAnsi="Arial Narrow" w:cs="Arial Narrow"/>
          <w:b/>
          <w:bCs/>
          <w:color w:val="000000" w:themeColor="text1"/>
          <w:lang w:val="en"/>
        </w:rPr>
        <w:t xml:space="preserve"> Wrap-Up </w:t>
      </w:r>
      <w:r w:rsidRPr="651260FA">
        <w:rPr>
          <w:rFonts w:ascii="Arial Narrow" w:eastAsia="Arial Narrow" w:hAnsi="Arial Narrow" w:cs="Arial Narrow"/>
          <w:color w:val="000000" w:themeColor="text1"/>
          <w:lang w:val="en"/>
        </w:rPr>
        <w:t>– Robert Ferguson, MPH, Chief Policy Officer, Pittsburgh Regional Health Initiative (PRHI)</w:t>
      </w:r>
    </w:p>
    <w:p w14:paraId="4D17118D" w14:textId="55C82FEF" w:rsidR="4A5CF266" w:rsidRDefault="4A5CF266" w:rsidP="4A5CF266"/>
    <w:sectPr w:rsidR="4A5CF2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BE23A"/>
    <w:multiLevelType w:val="hybridMultilevel"/>
    <w:tmpl w:val="9F506A00"/>
    <w:lvl w:ilvl="0" w:tplc="19261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7A6C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DC42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A2CD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36E6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1AEE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6E6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56AF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C85F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6C5B07"/>
    <w:multiLevelType w:val="hybridMultilevel"/>
    <w:tmpl w:val="4814804C"/>
    <w:lvl w:ilvl="0" w:tplc="469652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2086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26B8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46D7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BA95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E44A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AEBA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AAFB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748D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464889">
    <w:abstractNumId w:val="0"/>
  </w:num>
  <w:num w:numId="2" w16cid:durableId="1862622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9207502"/>
    <w:rsid w:val="00AD757F"/>
    <w:rsid w:val="00B5541B"/>
    <w:rsid w:val="130D3A2B"/>
    <w:rsid w:val="4823B632"/>
    <w:rsid w:val="49207502"/>
    <w:rsid w:val="4A5CF266"/>
    <w:rsid w:val="6512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0B768"/>
  <w15:chartTrackingRefBased/>
  <w15:docId w15:val="{0966665D-BAC8-4FCC-BDD7-E99463B4E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4A5CF2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4823B632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6web.zoom.us/meeting/register/rk0G4k7ySZ6QQ6nP_6ckz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1152</Characters>
  <Application>Microsoft Office Word</Application>
  <DocSecurity>0</DocSecurity>
  <Lines>41</Lines>
  <Paragraphs>14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Ashenayi</dc:creator>
  <cp:keywords/>
  <dc:description/>
  <cp:lastModifiedBy>Dorn, Carolyn</cp:lastModifiedBy>
  <cp:revision>2</cp:revision>
  <dcterms:created xsi:type="dcterms:W3CDTF">2026-09-01T12:04:00Z</dcterms:created>
  <dcterms:modified xsi:type="dcterms:W3CDTF">2026-09-01T12:04:00Z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4b1be8-281e-475d-98b0-21c3457e5a46_Enabled">
    <vt:lpwstr>true</vt:lpwstr>
  </property>
  <property fmtid="{D5CDD505-2E9C-101B-9397-08002B2CF9AE}" pid="3" name="MSIP_Label_5e4b1be8-281e-475d-98b0-21c3457e5a46_SetDate">
    <vt:lpwstr>2026-09-01T12:04:45Z</vt:lpwstr>
  </property>
  <property fmtid="{D5CDD505-2E9C-101B-9397-08002B2CF9AE}" pid="4" name="MSIP_Label_5e4b1be8-281e-475d-98b0-21c3457e5a46_Method">
    <vt:lpwstr>Standard</vt:lpwstr>
  </property>
  <property fmtid="{D5CDD505-2E9C-101B-9397-08002B2CF9AE}" pid="5" name="MSIP_Label_5e4b1be8-281e-475d-98b0-21c3457e5a46_Name">
    <vt:lpwstr>Public</vt:lpwstr>
  </property>
  <property fmtid="{D5CDD505-2E9C-101B-9397-08002B2CF9AE}" pid="6" name="MSIP_Label_5e4b1be8-281e-475d-98b0-21c3457e5a46_SiteId">
    <vt:lpwstr>8b3dd73e-4e72-4679-b191-56da1588712b</vt:lpwstr>
  </property>
  <property fmtid="{D5CDD505-2E9C-101B-9397-08002B2CF9AE}" pid="7" name="MSIP_Label_5e4b1be8-281e-475d-98b0-21c3457e5a46_ActionId">
    <vt:lpwstr>8e8330a1-6109-41a7-9279-b6827b565e07</vt:lpwstr>
  </property>
  <property fmtid="{D5CDD505-2E9C-101B-9397-08002B2CF9AE}" pid="8" name="MSIP_Label_5e4b1be8-281e-475d-98b0-21c3457e5a46_ContentBits">
    <vt:lpwstr>0</vt:lpwstr>
  </property>
  <property fmtid="{D5CDD505-2E9C-101B-9397-08002B2CF9AE}" pid="9" name="MSIP_Label_5e4b1be8-281e-475d-98b0-21c3457e5a46_Tag">
    <vt:lpwstr>10, 3, 0, 1</vt:lpwstr>
  </property>
</Properties>
</file>