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2FA1" w14:textId="669142E1" w:rsidR="00B72ADC" w:rsidRPr="0082509C" w:rsidRDefault="005E1328" w:rsidP="0082509C">
      <w:pPr>
        <w:shd w:val="clear" w:color="auto" w:fill="7F7F7F" w:themeFill="text1" w:themeFillTint="80"/>
        <w:spacing w:after="60" w:line="288" w:lineRule="auto"/>
        <w:rPr>
          <w:rFonts w:ascii="Calibri" w:hAnsi="Calibri" w:cs="Calibri"/>
          <w:b/>
          <w:bCs/>
          <w:color w:val="FFFFFF" w:themeColor="background1"/>
        </w:rPr>
      </w:pPr>
      <w:r>
        <w:rPr>
          <w:rFonts w:ascii="Calibri" w:hAnsi="Calibri" w:cs="Calibri"/>
          <w:b/>
          <w:bCs/>
          <w:color w:val="FFFFFF" w:themeColor="background1"/>
        </w:rPr>
        <w:t>PRE-APPLICATION GUIDANCE</w:t>
      </w:r>
    </w:p>
    <w:p w14:paraId="4DDF3022" w14:textId="77777777" w:rsidR="00561E86" w:rsidRDefault="00561E86" w:rsidP="0082509C">
      <w:pPr>
        <w:spacing w:after="60" w:line="288" w:lineRule="auto"/>
      </w:pPr>
    </w:p>
    <w:p w14:paraId="46EC0904" w14:textId="772126EC" w:rsidR="001D5C95" w:rsidRDefault="001D5C95" w:rsidP="0082509C">
      <w:pPr>
        <w:spacing w:after="60" w:line="288" w:lineRule="auto"/>
        <w:rPr>
          <w:rFonts w:ascii="Calibri" w:hAnsi="Calibri" w:cs="Calibri"/>
          <w:sz w:val="22"/>
          <w:szCs w:val="22"/>
        </w:rPr>
      </w:pPr>
      <w:hyperlink r:id="rId5" w:history="1">
        <w:r w:rsidRPr="0082509C">
          <w:rPr>
            <w:rStyle w:val="Hyperlink"/>
            <w:rFonts w:ascii="Calibri" w:hAnsi="Calibri" w:cs="Calibri"/>
            <w:sz w:val="22"/>
            <w:szCs w:val="22"/>
          </w:rPr>
          <w:t>New Course Application</w:t>
        </w:r>
      </w:hyperlink>
      <w:r w:rsidRPr="0082509C">
        <w:rPr>
          <w:rFonts w:ascii="Calibri" w:hAnsi="Calibri" w:cs="Calibri"/>
          <w:sz w:val="22"/>
          <w:szCs w:val="22"/>
        </w:rPr>
        <w:t xml:space="preserve"> (must be logged in to view/submit the application) </w:t>
      </w:r>
    </w:p>
    <w:p w14:paraId="54F8460F" w14:textId="77777777" w:rsidR="00561E86" w:rsidRDefault="00561E86" w:rsidP="0082509C">
      <w:pPr>
        <w:spacing w:after="60" w:line="288" w:lineRule="auto"/>
        <w:rPr>
          <w:rFonts w:ascii="Calibri" w:hAnsi="Calibri" w:cs="Calibri"/>
          <w:sz w:val="22"/>
          <w:szCs w:val="22"/>
        </w:rPr>
      </w:pPr>
    </w:p>
    <w:p w14:paraId="12A7B403" w14:textId="77777777" w:rsidR="001D5C95" w:rsidRPr="00561E86" w:rsidRDefault="001D5C95" w:rsidP="00561E86">
      <w:pPr>
        <w:pStyle w:val="ListParagraph"/>
        <w:numPr>
          <w:ilvl w:val="0"/>
          <w:numId w:val="10"/>
        </w:numPr>
        <w:spacing w:after="60" w:line="288" w:lineRule="auto"/>
        <w:rPr>
          <w:rFonts w:ascii="Calibri" w:hAnsi="Calibri" w:cs="Calibri"/>
          <w:b/>
          <w:bCs/>
          <w:sz w:val="22"/>
          <w:szCs w:val="22"/>
        </w:rPr>
      </w:pPr>
      <w:r w:rsidRPr="00561E86">
        <w:rPr>
          <w:rFonts w:ascii="Calibri" w:hAnsi="Calibri" w:cs="Calibri"/>
          <w:b/>
          <w:bCs/>
          <w:sz w:val="22"/>
          <w:szCs w:val="22"/>
        </w:rPr>
        <w:t>SUBMISSION DUE DATE</w:t>
      </w:r>
    </w:p>
    <w:p w14:paraId="27411B69" w14:textId="77777777" w:rsidR="00561E86" w:rsidRPr="00561E86" w:rsidRDefault="00561E86" w:rsidP="00561E86">
      <w:pPr>
        <w:numPr>
          <w:ilvl w:val="0"/>
          <w:numId w:val="1"/>
        </w:numPr>
        <w:spacing w:after="60" w:line="288" w:lineRule="auto"/>
        <w:rPr>
          <w:rFonts w:ascii="Calibri" w:hAnsi="Calibri" w:cs="Calibri"/>
          <w:sz w:val="22"/>
          <w:szCs w:val="22"/>
        </w:rPr>
      </w:pPr>
      <w:r w:rsidRPr="00561E86">
        <w:rPr>
          <w:rFonts w:ascii="Calibri" w:hAnsi="Calibri" w:cs="Calibri"/>
          <w:sz w:val="22"/>
          <w:szCs w:val="22"/>
        </w:rPr>
        <w:t xml:space="preserve">Applications for Regularly Scheduled Series (e.g., grand rounds, M&amp;M, tumor board) are accepted between </w:t>
      </w:r>
      <w:r w:rsidRPr="00561E86">
        <w:rPr>
          <w:rFonts w:ascii="Calibri" w:hAnsi="Calibri" w:cs="Calibri"/>
          <w:b/>
          <w:bCs/>
          <w:sz w:val="22"/>
          <w:szCs w:val="22"/>
        </w:rPr>
        <w:t>October 1</w:t>
      </w:r>
      <w:r w:rsidRPr="00561E86">
        <w:rPr>
          <w:rFonts w:ascii="Calibri" w:hAnsi="Calibri" w:cs="Calibri"/>
          <w:b/>
          <w:bCs/>
          <w:sz w:val="22"/>
          <w:szCs w:val="22"/>
          <w:vertAlign w:val="superscript"/>
        </w:rPr>
        <w:t>st</w:t>
      </w:r>
      <w:r w:rsidRPr="00561E86">
        <w:rPr>
          <w:rFonts w:ascii="Calibri" w:hAnsi="Calibri" w:cs="Calibri"/>
          <w:b/>
          <w:bCs/>
          <w:sz w:val="22"/>
          <w:szCs w:val="22"/>
        </w:rPr>
        <w:t xml:space="preserve">  and December 15th</w:t>
      </w:r>
      <w:r w:rsidRPr="00561E86">
        <w:rPr>
          <w:rFonts w:ascii="Calibri" w:hAnsi="Calibri" w:cs="Calibri"/>
          <w:sz w:val="22"/>
          <w:szCs w:val="22"/>
        </w:rPr>
        <w:t xml:space="preserve">. </w:t>
      </w:r>
      <w:proofErr w:type="gramStart"/>
      <w:r w:rsidRPr="00561E86">
        <w:rPr>
          <w:rFonts w:ascii="Calibri" w:hAnsi="Calibri" w:cs="Calibri"/>
          <w:sz w:val="22"/>
          <w:szCs w:val="22"/>
        </w:rPr>
        <w:t>Credit</w:t>
      </w:r>
      <w:proofErr w:type="gramEnd"/>
      <w:r w:rsidRPr="00561E86">
        <w:rPr>
          <w:rFonts w:ascii="Calibri" w:hAnsi="Calibri" w:cs="Calibri"/>
          <w:sz w:val="22"/>
          <w:szCs w:val="22"/>
        </w:rPr>
        <w:t xml:space="preserve"> will be awarded beginning January 1st. </w:t>
      </w:r>
    </w:p>
    <w:p w14:paraId="63ED7227" w14:textId="503D1B6E" w:rsidR="00561E86" w:rsidRPr="00561E86" w:rsidRDefault="00561E86" w:rsidP="00FA16EE">
      <w:pPr>
        <w:numPr>
          <w:ilvl w:val="0"/>
          <w:numId w:val="1"/>
        </w:numPr>
        <w:spacing w:after="60" w:line="288" w:lineRule="auto"/>
        <w:rPr>
          <w:rFonts w:ascii="Calibri" w:hAnsi="Calibri" w:cs="Calibri"/>
          <w:sz w:val="22"/>
          <w:szCs w:val="22"/>
        </w:rPr>
      </w:pPr>
      <w:r w:rsidRPr="00561E86">
        <w:rPr>
          <w:rFonts w:ascii="Calibri" w:hAnsi="Calibri" w:cs="Calibri"/>
          <w:sz w:val="22"/>
          <w:szCs w:val="22"/>
        </w:rPr>
        <w:t xml:space="preserve">The activity start date for </w:t>
      </w:r>
      <w:proofErr w:type="gramStart"/>
      <w:r w:rsidRPr="00561E86">
        <w:rPr>
          <w:rFonts w:ascii="Calibri" w:hAnsi="Calibri" w:cs="Calibri"/>
          <w:sz w:val="22"/>
          <w:szCs w:val="22"/>
        </w:rPr>
        <w:t>an Enduring</w:t>
      </w:r>
      <w:proofErr w:type="gramEnd"/>
      <w:r w:rsidRPr="00561E86">
        <w:rPr>
          <w:rFonts w:ascii="Calibri" w:hAnsi="Calibri" w:cs="Calibri"/>
          <w:sz w:val="22"/>
          <w:szCs w:val="22"/>
        </w:rPr>
        <w:t xml:space="preserve"> material (e.g., recorded self-study) is the anticipated date that the activity will be made available to learners</w:t>
      </w:r>
    </w:p>
    <w:p w14:paraId="09676B5F" w14:textId="2AA86B90" w:rsidR="00561E86" w:rsidRPr="00561E86" w:rsidRDefault="00561E86" w:rsidP="00561E86">
      <w:pPr>
        <w:pStyle w:val="ListParagraph"/>
        <w:numPr>
          <w:ilvl w:val="0"/>
          <w:numId w:val="1"/>
        </w:numPr>
        <w:spacing w:after="60" w:line="288" w:lineRule="auto"/>
        <w:rPr>
          <w:rFonts w:ascii="Calibri" w:hAnsi="Calibri" w:cs="Calibri"/>
          <w:sz w:val="22"/>
          <w:szCs w:val="22"/>
        </w:rPr>
      </w:pPr>
      <w:r w:rsidRPr="00561E86">
        <w:rPr>
          <w:rFonts w:ascii="Calibri" w:hAnsi="Calibri" w:cs="Calibri"/>
          <w:i/>
          <w:iCs/>
          <w:sz w:val="22"/>
          <w:szCs w:val="22"/>
        </w:rPr>
        <w:t>​​​​​​​</w:t>
      </w:r>
      <w:r w:rsidRPr="00561E86">
        <w:rPr>
          <w:rFonts w:ascii="Calibri" w:hAnsi="Calibri" w:cs="Calibri"/>
          <w:sz w:val="22"/>
          <w:szCs w:val="22"/>
        </w:rPr>
        <w:t>Applications for activities requesting educational grants from a commercial interest (e.g., pharmaceutical/device company) should be submitted 6 months prior to the activity start date. Refer to </w:t>
      </w:r>
      <w:hyperlink r:id="rId6" w:anchor="Guidance" w:history="1">
        <w:r w:rsidRPr="00561E86">
          <w:rPr>
            <w:rStyle w:val="Hyperlink"/>
            <w:rFonts w:ascii="Calibri" w:hAnsi="Calibri" w:cs="Calibri"/>
            <w:sz w:val="22"/>
            <w:szCs w:val="22"/>
          </w:rPr>
          <w:t>Guidance on Receiving Funding</w:t>
        </w:r>
      </w:hyperlink>
      <w:r w:rsidRPr="00561E86">
        <w:rPr>
          <w:rFonts w:ascii="Calibri" w:hAnsi="Calibri" w:cs="Calibri"/>
          <w:sz w:val="22"/>
          <w:szCs w:val="22"/>
        </w:rPr>
        <w:t xml:space="preserve"> for specific requirements including the definition of a commercial interest. Requests for educational grants from a commercial interest (e.g., </w:t>
      </w:r>
      <w:proofErr w:type="gramStart"/>
      <w:r w:rsidRPr="00561E86">
        <w:rPr>
          <w:rFonts w:ascii="Calibri" w:hAnsi="Calibri" w:cs="Calibri"/>
          <w:sz w:val="22"/>
          <w:szCs w:val="22"/>
        </w:rPr>
        <w:t>pharmaceutical</w:t>
      </w:r>
      <w:proofErr w:type="gramEnd"/>
      <w:r w:rsidRPr="00561E86">
        <w:rPr>
          <w:rFonts w:ascii="Calibri" w:hAnsi="Calibri" w:cs="Calibri"/>
          <w:sz w:val="22"/>
          <w:szCs w:val="22"/>
        </w:rPr>
        <w:t>/device company) received after the activity is planned or within 4 months of the activity may not be accepted by CCEHS.</w:t>
      </w:r>
    </w:p>
    <w:p w14:paraId="77DEAB78" w14:textId="1664532B" w:rsidR="00561E86" w:rsidRDefault="00561E86" w:rsidP="00561E86">
      <w:pPr>
        <w:rPr>
          <w:b/>
          <w:bCs/>
          <w:u w:val="single"/>
        </w:rPr>
      </w:pPr>
      <w:r w:rsidRPr="00561E86">
        <w:rPr>
          <w:highlight w:val="yellow"/>
        </w:rPr>
        <w:t>IMPORTANT:</w:t>
      </w:r>
      <w:r>
        <w:t xml:space="preserve"> </w:t>
      </w:r>
      <w:r w:rsidRPr="00473437">
        <w:t>Applications must be submitted early in the planning process and at least *</w:t>
      </w:r>
      <w:r w:rsidRPr="00473437">
        <w:rPr>
          <w:b/>
          <w:bCs/>
        </w:rPr>
        <w:t xml:space="preserve">60 days prior to </w:t>
      </w:r>
      <w:proofErr w:type="gramStart"/>
      <w:r w:rsidRPr="00473437">
        <w:rPr>
          <w:b/>
          <w:bCs/>
        </w:rPr>
        <w:t>the activity</w:t>
      </w:r>
      <w:proofErr w:type="gramEnd"/>
      <w:r w:rsidRPr="00473437">
        <w:rPr>
          <w:b/>
          <w:bCs/>
        </w:rPr>
        <w:t xml:space="preserve"> start date</w:t>
      </w:r>
      <w:r w:rsidRPr="00473437">
        <w:t xml:space="preserve">. If the application is submitted after the curriculum is finalized or within 60 days of the activity start date the application </w:t>
      </w:r>
      <w:r>
        <w:t>will be</w:t>
      </w:r>
      <w:r w:rsidRPr="00473437">
        <w:t xml:space="preserve"> denied</w:t>
      </w:r>
      <w:r>
        <w:t xml:space="preserve">, with limited exceptions. </w:t>
      </w:r>
      <w:r w:rsidRPr="00473437">
        <w:rPr>
          <w:b/>
          <w:bCs/>
        </w:rPr>
        <w:t>Please allow 10 business days for CCEHS to review the application.</w:t>
      </w:r>
      <w:r w:rsidRPr="00473437">
        <w:t> Notifications will be provided by email and available under Activity Applications in your account.</w:t>
      </w:r>
    </w:p>
    <w:p w14:paraId="3465104F" w14:textId="77777777" w:rsidR="00561E86" w:rsidRDefault="00561E86" w:rsidP="00561E86">
      <w:pPr>
        <w:rPr>
          <w:b/>
          <w:bCs/>
          <w:u w:val="single"/>
        </w:rPr>
      </w:pPr>
      <w:r>
        <w:rPr>
          <w:b/>
          <w:bCs/>
          <w:u w:val="single"/>
        </w:rPr>
        <w:t>Example of an eligible exception:</w:t>
      </w:r>
    </w:p>
    <w:p w14:paraId="242F67F7" w14:textId="77777777" w:rsidR="00561E86" w:rsidRPr="00844E2A" w:rsidRDefault="00561E86" w:rsidP="00561E86">
      <w:pPr>
        <w:pStyle w:val="ListParagraph"/>
        <w:numPr>
          <w:ilvl w:val="0"/>
          <w:numId w:val="9"/>
        </w:numPr>
        <w:rPr>
          <w:i/>
          <w:iCs/>
        </w:rPr>
      </w:pPr>
      <w:r w:rsidRPr="00844E2A">
        <w:rPr>
          <w:i/>
          <w:iCs/>
        </w:rPr>
        <w:t>A rapidly evolving clinical issue has emerged, creating an urgent need to swiftly disseminate education to clinicians.</w:t>
      </w:r>
    </w:p>
    <w:p w14:paraId="49B42A39" w14:textId="77777777" w:rsidR="00561E86" w:rsidRDefault="00561E86" w:rsidP="00561E86">
      <w:pPr>
        <w:rPr>
          <w:b/>
          <w:bCs/>
          <w:u w:val="single"/>
        </w:rPr>
      </w:pPr>
      <w:r>
        <w:rPr>
          <w:b/>
          <w:bCs/>
          <w:u w:val="single"/>
        </w:rPr>
        <w:t>Examples of ineligible exceptions:</w:t>
      </w:r>
    </w:p>
    <w:p w14:paraId="1FC4AF17" w14:textId="77777777" w:rsidR="00561E86" w:rsidRPr="00844E2A" w:rsidRDefault="00561E86" w:rsidP="00561E86">
      <w:pPr>
        <w:pStyle w:val="ListParagraph"/>
        <w:numPr>
          <w:ilvl w:val="0"/>
          <w:numId w:val="8"/>
        </w:numPr>
        <w:spacing w:after="0"/>
        <w:rPr>
          <w:i/>
          <w:iCs/>
        </w:rPr>
      </w:pPr>
      <w:r w:rsidRPr="00844E2A">
        <w:rPr>
          <w:i/>
          <w:iCs/>
        </w:rPr>
        <w:t>Waiting to finalize speakers.</w:t>
      </w:r>
    </w:p>
    <w:p w14:paraId="577DCBC9" w14:textId="77777777" w:rsidR="00561E86" w:rsidRPr="00844E2A" w:rsidRDefault="00561E86" w:rsidP="00561E86">
      <w:pPr>
        <w:pStyle w:val="ListParagraph"/>
        <w:numPr>
          <w:ilvl w:val="0"/>
          <w:numId w:val="8"/>
        </w:numPr>
        <w:spacing w:after="0"/>
        <w:rPr>
          <w:i/>
          <w:iCs/>
        </w:rPr>
      </w:pPr>
      <w:r w:rsidRPr="00844E2A">
        <w:rPr>
          <w:i/>
          <w:iCs/>
        </w:rPr>
        <w:t xml:space="preserve">Was not aware of the 60-day requirement. </w:t>
      </w:r>
    </w:p>
    <w:p w14:paraId="0FFFD456" w14:textId="77777777" w:rsidR="00561E86" w:rsidRPr="00844E2A" w:rsidRDefault="00561E86" w:rsidP="00561E86">
      <w:pPr>
        <w:pStyle w:val="ListParagraph"/>
        <w:numPr>
          <w:ilvl w:val="0"/>
          <w:numId w:val="8"/>
        </w:numPr>
        <w:spacing w:after="0"/>
        <w:rPr>
          <w:i/>
          <w:iCs/>
        </w:rPr>
      </w:pPr>
      <w:r w:rsidRPr="00844E2A">
        <w:rPr>
          <w:i/>
          <w:iCs/>
        </w:rPr>
        <w:t>The activity has been planned but CE credits were overlooked in the planning process.</w:t>
      </w:r>
    </w:p>
    <w:p w14:paraId="3A678F9E" w14:textId="77777777" w:rsidR="001D5C95" w:rsidRDefault="001D5C95" w:rsidP="0082509C">
      <w:pPr>
        <w:spacing w:after="60" w:line="288" w:lineRule="auto"/>
        <w:rPr>
          <w:rFonts w:ascii="Calibri" w:hAnsi="Calibri" w:cs="Calibri"/>
          <w:b/>
          <w:bCs/>
          <w:sz w:val="22"/>
          <w:szCs w:val="22"/>
        </w:rPr>
      </w:pPr>
    </w:p>
    <w:p w14:paraId="416A204D" w14:textId="1C59C1AB" w:rsidR="00B72ADC" w:rsidRPr="0082509C" w:rsidRDefault="00B72ADC" w:rsidP="0082509C">
      <w:pPr>
        <w:pStyle w:val="ListParagraph"/>
        <w:numPr>
          <w:ilvl w:val="0"/>
          <w:numId w:val="5"/>
        </w:numPr>
        <w:spacing w:after="60" w:line="288" w:lineRule="auto"/>
        <w:rPr>
          <w:rFonts w:ascii="Calibri" w:hAnsi="Calibri" w:cs="Calibri"/>
          <w:b/>
          <w:bCs/>
          <w:sz w:val="22"/>
          <w:szCs w:val="22"/>
        </w:rPr>
      </w:pPr>
      <w:r w:rsidRPr="0082509C">
        <w:rPr>
          <w:rFonts w:ascii="Calibri" w:hAnsi="Calibri" w:cs="Calibri"/>
          <w:b/>
          <w:bCs/>
          <w:sz w:val="22"/>
          <w:szCs w:val="22"/>
        </w:rPr>
        <w:t>CONTENT</w:t>
      </w:r>
    </w:p>
    <w:p w14:paraId="1F65F0A2" w14:textId="77777777" w:rsidR="00B72ADC" w:rsidRPr="0082509C" w:rsidRDefault="00B72ADC" w:rsidP="0082509C">
      <w:pPr>
        <w:spacing w:after="60" w:line="288" w:lineRule="auto"/>
        <w:rPr>
          <w:rFonts w:ascii="Calibri" w:hAnsi="Calibri" w:cs="Calibri"/>
          <w:sz w:val="22"/>
          <w:szCs w:val="22"/>
        </w:rPr>
      </w:pPr>
      <w:r w:rsidRPr="0082509C">
        <w:rPr>
          <w:rFonts w:ascii="Calibri" w:hAnsi="Calibri" w:cs="Calibri"/>
          <w:sz w:val="22"/>
          <w:szCs w:val="22"/>
        </w:rPr>
        <w:t>The definition of continuing education is broad and varies by profession. In general, the content should be designed to support the </w:t>
      </w:r>
      <w:r w:rsidRPr="0082509C">
        <w:rPr>
          <w:rFonts w:ascii="Calibri" w:hAnsi="Calibri" w:cs="Calibri"/>
          <w:b/>
          <w:bCs/>
          <w:sz w:val="22"/>
          <w:szCs w:val="22"/>
          <w:u w:val="single"/>
        </w:rPr>
        <w:t>continuing professional development</w:t>
      </w:r>
      <w:r w:rsidRPr="0082509C">
        <w:rPr>
          <w:rFonts w:ascii="Calibri" w:hAnsi="Calibri" w:cs="Calibri"/>
          <w:sz w:val="22"/>
          <w:szCs w:val="22"/>
        </w:rPr>
        <w:t> of </w:t>
      </w:r>
      <w:r w:rsidRPr="0082509C">
        <w:rPr>
          <w:rFonts w:ascii="Calibri" w:hAnsi="Calibri" w:cs="Calibri"/>
          <w:b/>
          <w:bCs/>
          <w:sz w:val="22"/>
          <w:szCs w:val="22"/>
          <w:u w:val="single"/>
        </w:rPr>
        <w:t>practicing</w:t>
      </w:r>
      <w:r w:rsidRPr="0082509C">
        <w:rPr>
          <w:rFonts w:ascii="Calibri" w:hAnsi="Calibri" w:cs="Calibri"/>
          <w:sz w:val="22"/>
          <w:szCs w:val="22"/>
        </w:rPr>
        <w:t> health care professionals to maintain and enhance their knowledge, skills, and professional performance.</w:t>
      </w:r>
    </w:p>
    <w:p w14:paraId="24CD3558" w14:textId="77777777" w:rsidR="00B72ADC" w:rsidRPr="0082509C" w:rsidRDefault="00B72ADC" w:rsidP="0082509C">
      <w:pPr>
        <w:spacing w:after="60" w:line="288" w:lineRule="auto"/>
        <w:rPr>
          <w:rFonts w:ascii="Calibri" w:hAnsi="Calibri" w:cs="Calibri"/>
          <w:sz w:val="22"/>
          <w:szCs w:val="22"/>
        </w:rPr>
      </w:pPr>
      <w:r w:rsidRPr="0082509C">
        <w:rPr>
          <w:rFonts w:ascii="Calibri" w:hAnsi="Calibri" w:cs="Calibri"/>
          <w:sz w:val="22"/>
          <w:szCs w:val="22"/>
        </w:rPr>
        <w:t>It is important to understand that acceptable content may vary depending on the type of credit requested. For this reason, the CCEHS may request additional information to determine if the content is appropriate for the continuing education credit type requested. Approval is at the discretion of the CCEHS.</w:t>
      </w:r>
    </w:p>
    <w:p w14:paraId="0D4BB62B" w14:textId="77777777" w:rsidR="00561E86" w:rsidRDefault="00561E86" w:rsidP="0082509C">
      <w:pPr>
        <w:spacing w:after="60" w:line="288" w:lineRule="auto"/>
        <w:rPr>
          <w:rFonts w:ascii="Calibri" w:hAnsi="Calibri" w:cs="Calibri"/>
          <w:b/>
          <w:bCs/>
          <w:sz w:val="22"/>
          <w:szCs w:val="22"/>
        </w:rPr>
      </w:pPr>
    </w:p>
    <w:p w14:paraId="69B757B7" w14:textId="77777777" w:rsidR="00561E86" w:rsidRDefault="00561E86" w:rsidP="0082509C">
      <w:pPr>
        <w:spacing w:after="60" w:line="288" w:lineRule="auto"/>
        <w:rPr>
          <w:rFonts w:ascii="Calibri" w:hAnsi="Calibri" w:cs="Calibri"/>
          <w:b/>
          <w:bCs/>
          <w:sz w:val="22"/>
          <w:szCs w:val="22"/>
        </w:rPr>
      </w:pPr>
    </w:p>
    <w:p w14:paraId="6F84372D" w14:textId="2C984C64" w:rsidR="00B72ADC" w:rsidRPr="0082509C" w:rsidRDefault="00B72ADC" w:rsidP="0082509C">
      <w:pPr>
        <w:spacing w:after="60" w:line="288" w:lineRule="auto"/>
        <w:rPr>
          <w:rFonts w:ascii="Calibri" w:hAnsi="Calibri" w:cs="Calibri"/>
          <w:sz w:val="22"/>
          <w:szCs w:val="22"/>
        </w:rPr>
      </w:pPr>
      <w:r w:rsidRPr="0082509C">
        <w:rPr>
          <w:rFonts w:ascii="Calibri" w:hAnsi="Calibri" w:cs="Calibri"/>
          <w:b/>
          <w:bCs/>
          <w:sz w:val="22"/>
          <w:szCs w:val="22"/>
        </w:rPr>
        <w:lastRenderedPageBreak/>
        <w:t>Please review the following scenarios:</w:t>
      </w:r>
    </w:p>
    <w:p w14:paraId="3E459AC1" w14:textId="77777777" w:rsidR="00B72ADC" w:rsidRPr="0082509C" w:rsidRDefault="00B72ADC" w:rsidP="0082509C">
      <w:pPr>
        <w:pStyle w:val="ListParagraph"/>
        <w:numPr>
          <w:ilvl w:val="0"/>
          <w:numId w:val="7"/>
        </w:numPr>
        <w:spacing w:after="60" w:line="288" w:lineRule="auto"/>
        <w:rPr>
          <w:rFonts w:ascii="Calibri" w:hAnsi="Calibri" w:cs="Calibri"/>
          <w:sz w:val="22"/>
          <w:szCs w:val="22"/>
        </w:rPr>
      </w:pPr>
      <w:r w:rsidRPr="0082509C">
        <w:rPr>
          <w:rFonts w:ascii="Calibri" w:hAnsi="Calibri" w:cs="Calibri"/>
          <w:b/>
          <w:bCs/>
          <w:sz w:val="22"/>
          <w:szCs w:val="22"/>
        </w:rPr>
        <w:t>Onboarding, orientation and/or mandatory training</w:t>
      </w:r>
      <w:r w:rsidRPr="0082509C">
        <w:rPr>
          <w:rFonts w:ascii="Calibri" w:hAnsi="Calibri" w:cs="Calibri"/>
          <w:sz w:val="22"/>
          <w:szCs w:val="22"/>
        </w:rPr>
        <w:t>. Requesting credit for employer specific courses designed for onboarding, orientation and/or mandatory training is discouraged. Acceptance of this type of content varies depending on the specific licensing board or other regulatory body. Please consider whether the content is training that is required for employment versus content designed to support the continuing professional development of practicing health care professionals to maintain and enhance their knowledge, skills, and professional performance.</w:t>
      </w:r>
    </w:p>
    <w:p w14:paraId="0F4EBD0D" w14:textId="77777777" w:rsidR="00B72ADC" w:rsidRPr="0082509C" w:rsidRDefault="00B72ADC" w:rsidP="0082509C">
      <w:pPr>
        <w:pStyle w:val="ListParagraph"/>
        <w:numPr>
          <w:ilvl w:val="0"/>
          <w:numId w:val="7"/>
        </w:numPr>
        <w:spacing w:after="60" w:line="288" w:lineRule="auto"/>
        <w:rPr>
          <w:rFonts w:ascii="Calibri" w:hAnsi="Calibri" w:cs="Calibri"/>
          <w:sz w:val="22"/>
          <w:szCs w:val="22"/>
        </w:rPr>
      </w:pPr>
      <w:r w:rsidRPr="0082509C">
        <w:rPr>
          <w:rFonts w:ascii="Calibri" w:hAnsi="Calibri" w:cs="Calibri"/>
          <w:b/>
          <w:bCs/>
          <w:sz w:val="22"/>
          <w:szCs w:val="22"/>
        </w:rPr>
        <w:t>Courses designed for non-healthcare professionals</w:t>
      </w:r>
      <w:r w:rsidRPr="0082509C">
        <w:rPr>
          <w:rFonts w:ascii="Calibri" w:hAnsi="Calibri" w:cs="Calibri"/>
          <w:sz w:val="22"/>
          <w:szCs w:val="22"/>
        </w:rPr>
        <w:t>. Courses designed primarily for lay persons are generally not appropriate for CE credit.</w:t>
      </w:r>
    </w:p>
    <w:p w14:paraId="5AB75484" w14:textId="77777777" w:rsidR="00B72ADC" w:rsidRDefault="00B72ADC" w:rsidP="0082509C">
      <w:pPr>
        <w:pStyle w:val="ListParagraph"/>
        <w:numPr>
          <w:ilvl w:val="0"/>
          <w:numId w:val="7"/>
        </w:numPr>
        <w:spacing w:after="60" w:line="288" w:lineRule="auto"/>
        <w:rPr>
          <w:rFonts w:ascii="Calibri" w:hAnsi="Calibri" w:cs="Calibri"/>
          <w:sz w:val="22"/>
          <w:szCs w:val="22"/>
        </w:rPr>
      </w:pPr>
      <w:r w:rsidRPr="0082509C">
        <w:rPr>
          <w:rFonts w:ascii="Calibri" w:hAnsi="Calibri" w:cs="Calibri"/>
          <w:b/>
          <w:bCs/>
          <w:sz w:val="22"/>
          <w:szCs w:val="22"/>
        </w:rPr>
        <w:t>New and evolving topics</w:t>
      </w:r>
      <w:r w:rsidRPr="0082509C">
        <w:rPr>
          <w:rFonts w:ascii="Calibri" w:hAnsi="Calibri" w:cs="Calibri"/>
          <w:sz w:val="22"/>
          <w:szCs w:val="22"/>
        </w:rPr>
        <w:t xml:space="preserve">. Although accredited continuing education is an appropriate place to discuss, debate, and explore new and evolving topics, these areas need to be clearly identified as such within the program and individual presentations. It is the responsibility of </w:t>
      </w:r>
      <w:proofErr w:type="gramStart"/>
      <w:r w:rsidRPr="0082509C">
        <w:rPr>
          <w:rFonts w:ascii="Calibri" w:hAnsi="Calibri" w:cs="Calibri"/>
          <w:sz w:val="22"/>
          <w:szCs w:val="22"/>
        </w:rPr>
        <w:t>the CCEHS</w:t>
      </w:r>
      <w:proofErr w:type="gramEnd"/>
      <w:r w:rsidRPr="0082509C">
        <w:rPr>
          <w:rFonts w:ascii="Calibri" w:hAnsi="Calibri" w:cs="Calibri"/>
          <w:sz w:val="22"/>
          <w:szCs w:val="22"/>
        </w:rPr>
        <w:t xml:space="preserve"> to ensure the content is presented without advocating for, or promoting, practices that are not, or not </w:t>
      </w:r>
      <w:proofErr w:type="gramStart"/>
      <w:r w:rsidRPr="0082509C">
        <w:rPr>
          <w:rFonts w:ascii="Calibri" w:hAnsi="Calibri" w:cs="Calibri"/>
          <w:sz w:val="22"/>
          <w:szCs w:val="22"/>
        </w:rPr>
        <w:t>yet,</w:t>
      </w:r>
      <w:proofErr w:type="gramEnd"/>
      <w:r w:rsidRPr="0082509C">
        <w:rPr>
          <w:rFonts w:ascii="Calibri" w:hAnsi="Calibri" w:cs="Calibri"/>
          <w:sz w:val="22"/>
          <w:szCs w:val="22"/>
        </w:rPr>
        <w:t xml:space="preserve"> adequately based on current science, evidence, and clinical reasoning.</w:t>
      </w:r>
    </w:p>
    <w:p w14:paraId="1FDD63A7" w14:textId="77777777" w:rsidR="00AE3054" w:rsidRDefault="00AE3054" w:rsidP="00561E86">
      <w:pPr>
        <w:pStyle w:val="ListParagraph"/>
        <w:spacing w:after="60" w:line="288" w:lineRule="auto"/>
        <w:rPr>
          <w:rFonts w:ascii="Calibri" w:hAnsi="Calibri" w:cs="Calibri"/>
          <w:sz w:val="22"/>
          <w:szCs w:val="22"/>
        </w:rPr>
      </w:pPr>
    </w:p>
    <w:p w14:paraId="10CEC128" w14:textId="74493BAA" w:rsidR="00B72ADC" w:rsidRPr="0082509C" w:rsidRDefault="00B72ADC" w:rsidP="0082509C">
      <w:pPr>
        <w:pStyle w:val="ListParagraph"/>
        <w:numPr>
          <w:ilvl w:val="0"/>
          <w:numId w:val="5"/>
        </w:numPr>
        <w:spacing w:after="60" w:line="288" w:lineRule="auto"/>
        <w:rPr>
          <w:rFonts w:ascii="Calibri" w:hAnsi="Calibri" w:cs="Calibri"/>
          <w:b/>
          <w:bCs/>
          <w:sz w:val="22"/>
          <w:szCs w:val="22"/>
        </w:rPr>
      </w:pPr>
      <w:r w:rsidRPr="0082509C">
        <w:rPr>
          <w:rFonts w:ascii="Calibri" w:hAnsi="Calibri" w:cs="Calibri"/>
          <w:b/>
          <w:bCs/>
          <w:sz w:val="22"/>
          <w:szCs w:val="22"/>
        </w:rPr>
        <w:t>FUNDING</w:t>
      </w:r>
    </w:p>
    <w:p w14:paraId="66D4DDFE" w14:textId="77777777" w:rsidR="00B72ADC" w:rsidRPr="0082509C" w:rsidRDefault="00B72ADC" w:rsidP="0082509C">
      <w:pPr>
        <w:spacing w:after="60" w:line="288" w:lineRule="auto"/>
        <w:rPr>
          <w:rFonts w:ascii="Calibri" w:hAnsi="Calibri" w:cs="Calibri"/>
          <w:sz w:val="22"/>
          <w:szCs w:val="22"/>
        </w:rPr>
      </w:pPr>
      <w:r w:rsidRPr="0082509C">
        <w:rPr>
          <w:rFonts w:ascii="Calibri" w:hAnsi="Calibri" w:cs="Calibri"/>
          <w:sz w:val="22"/>
          <w:szCs w:val="22"/>
        </w:rPr>
        <w:t>If you are anticipating ANY support from a commercial interest (e.g., pharmaceutical company), please review </w:t>
      </w:r>
      <w:bookmarkStart w:id="0" w:name="Guidance"/>
      <w:r w:rsidRPr="0082509C">
        <w:rPr>
          <w:rFonts w:ascii="Calibri" w:hAnsi="Calibri" w:cs="Calibri"/>
          <w:sz w:val="22"/>
          <w:szCs w:val="22"/>
        </w:rPr>
        <w:fldChar w:fldCharType="begin"/>
      </w:r>
      <w:r w:rsidRPr="0082509C">
        <w:rPr>
          <w:rFonts w:ascii="Calibri" w:hAnsi="Calibri" w:cs="Calibri"/>
          <w:sz w:val="22"/>
          <w:szCs w:val="22"/>
        </w:rPr>
        <w:instrText>HYPERLINK "https://cce.upmc.com/sites/default/files/media/2023-06/Guidance%20on%20Receiving%20Funds%20and%20Managing%20Promotion_06062023_1.pdf" \t "_blank"</w:instrText>
      </w:r>
      <w:r w:rsidRPr="0082509C">
        <w:rPr>
          <w:rFonts w:ascii="Calibri" w:hAnsi="Calibri" w:cs="Calibri"/>
          <w:sz w:val="22"/>
          <w:szCs w:val="22"/>
        </w:rPr>
      </w:r>
      <w:r w:rsidRPr="0082509C">
        <w:rPr>
          <w:rFonts w:ascii="Calibri" w:hAnsi="Calibri" w:cs="Calibri"/>
          <w:sz w:val="22"/>
          <w:szCs w:val="22"/>
        </w:rPr>
        <w:fldChar w:fldCharType="separate"/>
      </w:r>
      <w:r w:rsidRPr="0082509C">
        <w:rPr>
          <w:rStyle w:val="Hyperlink"/>
          <w:rFonts w:ascii="Calibri" w:hAnsi="Calibri" w:cs="Calibri"/>
          <w:sz w:val="22"/>
          <w:szCs w:val="22"/>
        </w:rPr>
        <w:t>Guidance on Receiving Funds</w:t>
      </w:r>
      <w:r w:rsidRPr="0082509C">
        <w:rPr>
          <w:rFonts w:ascii="Calibri" w:hAnsi="Calibri" w:cs="Calibri"/>
          <w:sz w:val="22"/>
          <w:szCs w:val="22"/>
        </w:rPr>
        <w:fldChar w:fldCharType="end"/>
      </w:r>
      <w:bookmarkEnd w:id="0"/>
      <w:r w:rsidRPr="0082509C">
        <w:rPr>
          <w:rFonts w:ascii="Calibri" w:hAnsi="Calibri" w:cs="Calibri"/>
          <w:sz w:val="22"/>
          <w:szCs w:val="22"/>
        </w:rPr>
        <w:t> prior to soliciting or accepting any funding. A budget outlining the income and expenses may be requested. </w:t>
      </w:r>
    </w:p>
    <w:p w14:paraId="0F553789" w14:textId="5E24B56E" w:rsidR="00B72ADC" w:rsidRPr="0082509C" w:rsidRDefault="001D5C95" w:rsidP="0082509C">
      <w:pPr>
        <w:pStyle w:val="ListParagraph"/>
        <w:numPr>
          <w:ilvl w:val="0"/>
          <w:numId w:val="5"/>
        </w:numPr>
        <w:spacing w:after="60" w:line="288" w:lineRule="auto"/>
        <w:rPr>
          <w:rFonts w:ascii="Calibri" w:hAnsi="Calibri" w:cs="Calibri"/>
          <w:b/>
          <w:bCs/>
          <w:sz w:val="22"/>
          <w:szCs w:val="22"/>
        </w:rPr>
      </w:pPr>
      <w:r w:rsidRPr="0082509C">
        <w:rPr>
          <w:rFonts w:ascii="Calibri" w:hAnsi="Calibri" w:cs="Calibri"/>
          <w:b/>
          <w:bCs/>
          <w:sz w:val="22"/>
          <w:szCs w:val="22"/>
        </w:rPr>
        <w:t>RECORDED CONTENT</w:t>
      </w:r>
    </w:p>
    <w:p w14:paraId="53404993" w14:textId="4CA42F01" w:rsidR="00B72ADC" w:rsidRPr="0082509C" w:rsidRDefault="00B72ADC" w:rsidP="0082509C">
      <w:pPr>
        <w:spacing w:after="60" w:line="288" w:lineRule="auto"/>
        <w:rPr>
          <w:rFonts w:ascii="Calibri" w:hAnsi="Calibri" w:cs="Calibri"/>
          <w:sz w:val="22"/>
          <w:szCs w:val="22"/>
        </w:rPr>
      </w:pPr>
      <w:r w:rsidRPr="0082509C">
        <w:rPr>
          <w:rFonts w:ascii="Calibri" w:hAnsi="Calibri" w:cs="Calibri"/>
          <w:sz w:val="22"/>
          <w:szCs w:val="22"/>
        </w:rPr>
        <w:t>Recorded content for the purpose of accredited continuing education endures over a specified time and the participant determines when to complete the activity. It is referred to as an </w:t>
      </w:r>
      <w:r w:rsidRPr="0082509C">
        <w:rPr>
          <w:rFonts w:ascii="Calibri" w:hAnsi="Calibri" w:cs="Calibri"/>
          <w:b/>
          <w:bCs/>
          <w:sz w:val="22"/>
          <w:szCs w:val="22"/>
        </w:rPr>
        <w:t>Enduring Material</w:t>
      </w:r>
      <w:r w:rsidRPr="0082509C">
        <w:rPr>
          <w:rFonts w:ascii="Calibri" w:hAnsi="Calibri" w:cs="Calibri"/>
          <w:sz w:val="22"/>
          <w:szCs w:val="22"/>
        </w:rPr>
        <w:t>. Approval of a live activity does not carry over to recorded content. For example, the CCEHS may accredit a live version of an activity, but not a recorded version. A separate application for an Enduring Material is required. An Enduring Material activity can remain activ</w:t>
      </w:r>
      <w:r w:rsidR="00F30999">
        <w:rPr>
          <w:rFonts w:ascii="Calibri" w:hAnsi="Calibri" w:cs="Calibri"/>
          <w:sz w:val="22"/>
          <w:szCs w:val="22"/>
        </w:rPr>
        <w:t>e</w:t>
      </w:r>
      <w:r w:rsidRPr="0082509C">
        <w:rPr>
          <w:rFonts w:ascii="Calibri" w:hAnsi="Calibri" w:cs="Calibri"/>
          <w:sz w:val="22"/>
          <w:szCs w:val="22"/>
        </w:rPr>
        <w:t xml:space="preserve"> for three years. The expiration date is determined in the planning stages of the activity and once expired, must either be retired or renewed.</w:t>
      </w:r>
    </w:p>
    <w:p w14:paraId="64537F31" w14:textId="77777777" w:rsidR="00B72ADC" w:rsidRPr="0082509C" w:rsidRDefault="00B72ADC" w:rsidP="0082509C">
      <w:pPr>
        <w:numPr>
          <w:ilvl w:val="0"/>
          <w:numId w:val="2"/>
        </w:numPr>
        <w:spacing w:after="60" w:line="288" w:lineRule="auto"/>
        <w:rPr>
          <w:rFonts w:ascii="Calibri" w:hAnsi="Calibri" w:cs="Calibri"/>
          <w:sz w:val="22"/>
          <w:szCs w:val="22"/>
        </w:rPr>
      </w:pPr>
      <w:hyperlink r:id="rId7" w:tgtFrame="_blank" w:history="1">
        <w:r w:rsidRPr="0082509C">
          <w:rPr>
            <w:rStyle w:val="Hyperlink"/>
            <w:rFonts w:ascii="Calibri" w:hAnsi="Calibri" w:cs="Calibri"/>
            <w:sz w:val="22"/>
            <w:szCs w:val="22"/>
          </w:rPr>
          <w:t>Guidance on Recorded Content for Enduring Materials </w:t>
        </w:r>
      </w:hyperlink>
    </w:p>
    <w:p w14:paraId="72435F21" w14:textId="77777777" w:rsidR="00B72ADC" w:rsidRPr="0082509C" w:rsidRDefault="00B72ADC" w:rsidP="0082509C">
      <w:pPr>
        <w:numPr>
          <w:ilvl w:val="0"/>
          <w:numId w:val="2"/>
        </w:numPr>
        <w:spacing w:after="60" w:line="288" w:lineRule="auto"/>
        <w:rPr>
          <w:rFonts w:ascii="Calibri" w:hAnsi="Calibri" w:cs="Calibri"/>
          <w:sz w:val="22"/>
          <w:szCs w:val="22"/>
        </w:rPr>
      </w:pPr>
      <w:hyperlink r:id="rId8" w:tgtFrame="_blank" w:history="1">
        <w:r w:rsidRPr="0082509C">
          <w:rPr>
            <w:rStyle w:val="Hyperlink"/>
            <w:rFonts w:ascii="Calibri" w:hAnsi="Calibri" w:cs="Calibri"/>
            <w:sz w:val="22"/>
            <w:szCs w:val="22"/>
          </w:rPr>
          <w:t>Copyright and Privacy Presentation Guidelines</w:t>
        </w:r>
      </w:hyperlink>
    </w:p>
    <w:p w14:paraId="1DA55726" w14:textId="77777777" w:rsidR="00B72ADC" w:rsidRPr="0082509C" w:rsidRDefault="00B72ADC" w:rsidP="0082509C">
      <w:pPr>
        <w:numPr>
          <w:ilvl w:val="0"/>
          <w:numId w:val="2"/>
        </w:numPr>
        <w:spacing w:after="60" w:line="288" w:lineRule="auto"/>
        <w:rPr>
          <w:rFonts w:ascii="Calibri" w:hAnsi="Calibri" w:cs="Calibri"/>
          <w:sz w:val="22"/>
          <w:szCs w:val="22"/>
        </w:rPr>
      </w:pPr>
      <w:hyperlink r:id="rId9" w:tgtFrame="_blank" w:history="1">
        <w:r w:rsidRPr="0082509C">
          <w:rPr>
            <w:rStyle w:val="Hyperlink"/>
            <w:rFonts w:ascii="Calibri" w:hAnsi="Calibri" w:cs="Calibri"/>
            <w:sz w:val="22"/>
            <w:szCs w:val="22"/>
          </w:rPr>
          <w:t>Renewal/Revision Guidance</w:t>
        </w:r>
      </w:hyperlink>
    </w:p>
    <w:p w14:paraId="7243B665" w14:textId="77777777" w:rsidR="001D5C95" w:rsidRPr="0082509C" w:rsidRDefault="001D5C95" w:rsidP="0082509C">
      <w:pPr>
        <w:spacing w:after="60" w:line="288" w:lineRule="auto"/>
        <w:rPr>
          <w:rFonts w:ascii="Calibri" w:hAnsi="Calibri" w:cs="Calibri"/>
          <w:b/>
          <w:bCs/>
          <w:sz w:val="22"/>
          <w:szCs w:val="22"/>
        </w:rPr>
      </w:pPr>
    </w:p>
    <w:p w14:paraId="6B0CFE7B" w14:textId="364DDD10" w:rsidR="00B72ADC" w:rsidRPr="0082509C" w:rsidRDefault="001D5C95" w:rsidP="0082509C">
      <w:pPr>
        <w:pStyle w:val="ListParagraph"/>
        <w:numPr>
          <w:ilvl w:val="0"/>
          <w:numId w:val="5"/>
        </w:numPr>
        <w:spacing w:after="60" w:line="288" w:lineRule="auto"/>
        <w:rPr>
          <w:rFonts w:ascii="Calibri" w:hAnsi="Calibri" w:cs="Calibri"/>
          <w:b/>
          <w:bCs/>
          <w:sz w:val="22"/>
          <w:szCs w:val="22"/>
        </w:rPr>
      </w:pPr>
      <w:r w:rsidRPr="0082509C">
        <w:rPr>
          <w:rFonts w:ascii="Calibri" w:hAnsi="Calibri" w:cs="Calibri"/>
          <w:b/>
          <w:bCs/>
          <w:sz w:val="22"/>
          <w:szCs w:val="22"/>
        </w:rPr>
        <w:t>CREDIT TYPE</w:t>
      </w:r>
    </w:p>
    <w:p w14:paraId="6C8B9EEE" w14:textId="77777777" w:rsidR="00B72ADC" w:rsidRPr="0082509C" w:rsidRDefault="00B72ADC" w:rsidP="0082509C">
      <w:pPr>
        <w:spacing w:after="60" w:line="288" w:lineRule="auto"/>
        <w:rPr>
          <w:rFonts w:ascii="Calibri" w:hAnsi="Calibri" w:cs="Calibri"/>
          <w:sz w:val="22"/>
          <w:szCs w:val="22"/>
        </w:rPr>
      </w:pPr>
      <w:r w:rsidRPr="0082509C">
        <w:rPr>
          <w:rFonts w:ascii="Calibri" w:hAnsi="Calibri" w:cs="Calibri"/>
          <w:b/>
          <w:bCs/>
          <w:sz w:val="22"/>
          <w:szCs w:val="22"/>
        </w:rPr>
        <w:t>As a jointly accredited provider, the CCEHS offers continuing education credit to an interprofessional audience including the following types of credit:  </w:t>
      </w:r>
    </w:p>
    <w:p w14:paraId="435D002E" w14:textId="77777777" w:rsidR="00B72ADC" w:rsidRPr="0082509C" w:rsidRDefault="00B72ADC" w:rsidP="0082509C">
      <w:pPr>
        <w:numPr>
          <w:ilvl w:val="0"/>
          <w:numId w:val="3"/>
        </w:numPr>
        <w:spacing w:after="60" w:line="288" w:lineRule="auto"/>
        <w:rPr>
          <w:rFonts w:ascii="Calibri" w:hAnsi="Calibri" w:cs="Calibri"/>
          <w:sz w:val="22"/>
          <w:szCs w:val="22"/>
        </w:rPr>
      </w:pPr>
      <w:r w:rsidRPr="0082509C">
        <w:rPr>
          <w:rFonts w:ascii="Calibri" w:hAnsi="Calibri" w:cs="Calibri"/>
          <w:sz w:val="22"/>
          <w:szCs w:val="22"/>
        </w:rPr>
        <w:t>AAPA (Physician Assistant)</w:t>
      </w:r>
    </w:p>
    <w:p w14:paraId="61DCB7F4" w14:textId="77777777" w:rsidR="00B72ADC" w:rsidRPr="0082509C" w:rsidRDefault="00B72ADC" w:rsidP="0082509C">
      <w:pPr>
        <w:numPr>
          <w:ilvl w:val="0"/>
          <w:numId w:val="3"/>
        </w:numPr>
        <w:spacing w:after="60" w:line="288" w:lineRule="auto"/>
        <w:rPr>
          <w:rFonts w:ascii="Calibri" w:hAnsi="Calibri" w:cs="Calibri"/>
          <w:sz w:val="22"/>
          <w:szCs w:val="22"/>
        </w:rPr>
      </w:pPr>
      <w:r w:rsidRPr="0082509C">
        <w:rPr>
          <w:rFonts w:ascii="Calibri" w:hAnsi="Calibri" w:cs="Calibri"/>
          <w:b/>
          <w:bCs/>
          <w:sz w:val="22"/>
          <w:szCs w:val="22"/>
        </w:rPr>
        <w:t>*</w:t>
      </w:r>
      <w:r w:rsidRPr="0082509C">
        <w:rPr>
          <w:rFonts w:ascii="Calibri" w:hAnsi="Calibri" w:cs="Calibri"/>
          <w:sz w:val="22"/>
          <w:szCs w:val="22"/>
        </w:rPr>
        <w:t>ACPE (Pharmacy)(not awarded for a Regularly Scheduled Series activity type)</w:t>
      </w:r>
    </w:p>
    <w:p w14:paraId="6B8A0446" w14:textId="77777777" w:rsidR="00B72ADC" w:rsidRPr="0082509C" w:rsidRDefault="00B72ADC" w:rsidP="0082509C">
      <w:pPr>
        <w:numPr>
          <w:ilvl w:val="0"/>
          <w:numId w:val="3"/>
        </w:numPr>
        <w:spacing w:after="60" w:line="288" w:lineRule="auto"/>
        <w:rPr>
          <w:rFonts w:ascii="Calibri" w:hAnsi="Calibri" w:cs="Calibri"/>
          <w:sz w:val="22"/>
          <w:szCs w:val="22"/>
        </w:rPr>
      </w:pPr>
      <w:r w:rsidRPr="0082509C">
        <w:rPr>
          <w:rFonts w:ascii="Calibri" w:hAnsi="Calibri" w:cs="Calibri"/>
          <w:sz w:val="22"/>
          <w:szCs w:val="22"/>
        </w:rPr>
        <w:t>AMA PRA CATEGORY 1 CREDIT™ (Physician)</w:t>
      </w:r>
    </w:p>
    <w:p w14:paraId="28D2DC34" w14:textId="77777777" w:rsidR="00B72ADC" w:rsidRPr="0082509C" w:rsidRDefault="00B72ADC" w:rsidP="0082509C">
      <w:pPr>
        <w:numPr>
          <w:ilvl w:val="0"/>
          <w:numId w:val="3"/>
        </w:numPr>
        <w:spacing w:after="60" w:line="288" w:lineRule="auto"/>
        <w:rPr>
          <w:rFonts w:ascii="Calibri" w:hAnsi="Calibri" w:cs="Calibri"/>
          <w:sz w:val="22"/>
          <w:szCs w:val="22"/>
        </w:rPr>
      </w:pPr>
      <w:r w:rsidRPr="0082509C">
        <w:rPr>
          <w:rFonts w:ascii="Calibri" w:hAnsi="Calibri" w:cs="Calibri"/>
          <w:sz w:val="22"/>
          <w:szCs w:val="22"/>
        </w:rPr>
        <w:t>ANCC (Nursing)</w:t>
      </w:r>
    </w:p>
    <w:p w14:paraId="3C568A96" w14:textId="77777777" w:rsidR="00B72ADC" w:rsidRPr="0082509C" w:rsidRDefault="00B72ADC" w:rsidP="0082509C">
      <w:pPr>
        <w:numPr>
          <w:ilvl w:val="0"/>
          <w:numId w:val="3"/>
        </w:numPr>
        <w:spacing w:after="60" w:line="288" w:lineRule="auto"/>
        <w:rPr>
          <w:rFonts w:ascii="Calibri" w:hAnsi="Calibri" w:cs="Calibri"/>
          <w:sz w:val="22"/>
          <w:szCs w:val="22"/>
        </w:rPr>
      </w:pPr>
      <w:r w:rsidRPr="0082509C">
        <w:rPr>
          <w:rFonts w:ascii="Calibri" w:hAnsi="Calibri" w:cs="Calibri"/>
          <w:b/>
          <w:bCs/>
          <w:sz w:val="22"/>
          <w:szCs w:val="22"/>
        </w:rPr>
        <w:t>*</w:t>
      </w:r>
      <w:r w:rsidRPr="0082509C">
        <w:rPr>
          <w:rFonts w:ascii="Calibri" w:hAnsi="Calibri" w:cs="Calibri"/>
          <w:sz w:val="22"/>
          <w:szCs w:val="22"/>
        </w:rPr>
        <w:t>APA (Psychologists)(not awarded for a Regularly Scheduled Series and Enduring Material activity types)</w:t>
      </w:r>
    </w:p>
    <w:p w14:paraId="5F0F7235" w14:textId="77777777" w:rsidR="00B72ADC" w:rsidRPr="0082509C" w:rsidRDefault="00B72ADC" w:rsidP="0082509C">
      <w:pPr>
        <w:numPr>
          <w:ilvl w:val="0"/>
          <w:numId w:val="3"/>
        </w:numPr>
        <w:spacing w:after="60" w:line="288" w:lineRule="auto"/>
        <w:rPr>
          <w:rFonts w:ascii="Calibri" w:hAnsi="Calibri" w:cs="Calibri"/>
          <w:sz w:val="22"/>
          <w:szCs w:val="22"/>
        </w:rPr>
      </w:pPr>
      <w:r w:rsidRPr="0082509C">
        <w:rPr>
          <w:rFonts w:ascii="Calibri" w:hAnsi="Calibri" w:cs="Calibri"/>
          <w:b/>
          <w:bCs/>
          <w:sz w:val="22"/>
          <w:szCs w:val="22"/>
        </w:rPr>
        <w:t>*</w:t>
      </w:r>
      <w:r w:rsidRPr="0082509C">
        <w:rPr>
          <w:rFonts w:ascii="Calibri" w:hAnsi="Calibri" w:cs="Calibri"/>
          <w:sz w:val="22"/>
          <w:szCs w:val="22"/>
        </w:rPr>
        <w:t>ASWB (Social Work)(not awarded for a Regularly Scheduled Series and Enduring Material activity types) </w:t>
      </w:r>
    </w:p>
    <w:p w14:paraId="6E9D53A9" w14:textId="2750B0FF" w:rsidR="00B72ADC" w:rsidRPr="0082509C" w:rsidRDefault="00B72ADC" w:rsidP="0082509C">
      <w:pPr>
        <w:spacing w:after="60" w:line="288" w:lineRule="auto"/>
        <w:rPr>
          <w:rFonts w:ascii="Calibri" w:hAnsi="Calibri" w:cs="Calibri"/>
          <w:sz w:val="22"/>
          <w:szCs w:val="22"/>
        </w:rPr>
      </w:pPr>
      <w:r w:rsidRPr="0082509C">
        <w:rPr>
          <w:rFonts w:ascii="Calibri" w:hAnsi="Calibri" w:cs="Calibri"/>
          <w:i/>
          <w:iCs/>
          <w:sz w:val="22"/>
          <w:szCs w:val="22"/>
        </w:rPr>
        <w:lastRenderedPageBreak/>
        <w:t>*</w:t>
      </w:r>
      <w:r w:rsidRPr="0082509C">
        <w:rPr>
          <w:rFonts w:ascii="Calibri" w:hAnsi="Calibri" w:cs="Calibri"/>
          <w:sz w:val="22"/>
          <w:szCs w:val="22"/>
        </w:rPr>
        <w:t>Due to specific accreditation requirements, a supplemental application</w:t>
      </w:r>
      <w:r w:rsidR="00732D51">
        <w:rPr>
          <w:rFonts w:ascii="Calibri" w:hAnsi="Calibri" w:cs="Calibri"/>
          <w:sz w:val="22"/>
          <w:szCs w:val="22"/>
        </w:rPr>
        <w:t xml:space="preserve"> is required</w:t>
      </w:r>
      <w:r w:rsidRPr="0082509C">
        <w:rPr>
          <w:rFonts w:ascii="Calibri" w:hAnsi="Calibri" w:cs="Calibri"/>
          <w:sz w:val="22"/>
          <w:szCs w:val="22"/>
        </w:rPr>
        <w:t>. Additional information will be provided following submission of this application.</w:t>
      </w:r>
    </w:p>
    <w:p w14:paraId="4BE028BD" w14:textId="77777777" w:rsidR="0082509C" w:rsidRDefault="0082509C" w:rsidP="0082509C">
      <w:pPr>
        <w:spacing w:after="60" w:line="288" w:lineRule="auto"/>
        <w:rPr>
          <w:rFonts w:ascii="Calibri" w:hAnsi="Calibri" w:cs="Calibri"/>
          <w:b/>
          <w:bCs/>
          <w:sz w:val="22"/>
          <w:szCs w:val="22"/>
        </w:rPr>
      </w:pPr>
    </w:p>
    <w:p w14:paraId="249F76A1" w14:textId="0B54B63E" w:rsidR="00B72ADC" w:rsidRPr="0082509C" w:rsidRDefault="00B72ADC" w:rsidP="0082509C">
      <w:pPr>
        <w:spacing w:after="60" w:line="288" w:lineRule="auto"/>
        <w:rPr>
          <w:rFonts w:ascii="Calibri" w:hAnsi="Calibri" w:cs="Calibri"/>
          <w:sz w:val="22"/>
          <w:szCs w:val="22"/>
        </w:rPr>
      </w:pPr>
      <w:r w:rsidRPr="0082509C">
        <w:rPr>
          <w:rFonts w:ascii="Calibri" w:hAnsi="Calibri" w:cs="Calibri"/>
          <w:b/>
          <w:bCs/>
          <w:sz w:val="22"/>
          <w:szCs w:val="22"/>
        </w:rPr>
        <w:t>If you are choosing multiple types of credit, the activity is considered "interprofessional" and must be designed by and for the healthcare team. Please consider the following provisions:</w:t>
      </w:r>
    </w:p>
    <w:p w14:paraId="1496B843" w14:textId="77777777" w:rsidR="00B72ADC" w:rsidRPr="0082509C" w:rsidRDefault="00B72ADC" w:rsidP="0082509C">
      <w:pPr>
        <w:numPr>
          <w:ilvl w:val="0"/>
          <w:numId w:val="4"/>
        </w:numPr>
        <w:spacing w:after="60" w:line="288" w:lineRule="auto"/>
        <w:rPr>
          <w:rFonts w:ascii="Calibri" w:hAnsi="Calibri" w:cs="Calibri"/>
          <w:sz w:val="22"/>
          <w:szCs w:val="22"/>
        </w:rPr>
      </w:pPr>
      <w:r w:rsidRPr="0082509C">
        <w:rPr>
          <w:rFonts w:ascii="Calibri" w:hAnsi="Calibri" w:cs="Calibri"/>
          <w:sz w:val="22"/>
          <w:szCs w:val="22"/>
        </w:rPr>
        <w:t>If the activity is planned for a single profession, only select the type of credit applicable to the single profession.</w:t>
      </w:r>
    </w:p>
    <w:p w14:paraId="75279789" w14:textId="77777777" w:rsidR="00B72ADC" w:rsidRPr="0082509C" w:rsidRDefault="00B72ADC" w:rsidP="0082509C">
      <w:pPr>
        <w:numPr>
          <w:ilvl w:val="0"/>
          <w:numId w:val="4"/>
        </w:numPr>
        <w:spacing w:after="60" w:line="288" w:lineRule="auto"/>
        <w:rPr>
          <w:rFonts w:ascii="Calibri" w:hAnsi="Calibri" w:cs="Calibri"/>
          <w:sz w:val="22"/>
          <w:szCs w:val="22"/>
        </w:rPr>
      </w:pPr>
      <w:r w:rsidRPr="0082509C">
        <w:rPr>
          <w:rFonts w:ascii="Calibri" w:hAnsi="Calibri" w:cs="Calibri"/>
          <w:sz w:val="22"/>
          <w:szCs w:val="22"/>
        </w:rPr>
        <w:t>The credit type requested must be reflective of the primary target audience the activity is designed to address.</w:t>
      </w:r>
    </w:p>
    <w:p w14:paraId="2A03BCF2" w14:textId="5CCAB013" w:rsidR="00B72ADC" w:rsidRPr="0082509C" w:rsidRDefault="00B72ADC" w:rsidP="0082509C">
      <w:pPr>
        <w:numPr>
          <w:ilvl w:val="0"/>
          <w:numId w:val="4"/>
        </w:numPr>
        <w:spacing w:after="60" w:line="288" w:lineRule="auto"/>
        <w:rPr>
          <w:rFonts w:ascii="Calibri" w:hAnsi="Calibri" w:cs="Calibri"/>
          <w:b/>
          <w:bCs/>
          <w:sz w:val="22"/>
          <w:szCs w:val="22"/>
        </w:rPr>
      </w:pPr>
      <w:r w:rsidRPr="0082509C">
        <w:rPr>
          <w:rFonts w:ascii="Calibri" w:hAnsi="Calibri" w:cs="Calibri"/>
          <w:sz w:val="22"/>
          <w:szCs w:val="22"/>
        </w:rPr>
        <w:t>The credit type requested must include a planning committee member representing the discipline (e.g., ANCC requires a nurse on the planning committee).</w:t>
      </w:r>
      <w:r w:rsidRPr="0082509C">
        <w:rPr>
          <w:rFonts w:ascii="Calibri" w:hAnsi="Calibri" w:cs="Calibri"/>
          <w:b/>
          <w:bCs/>
          <w:sz w:val="22"/>
          <w:szCs w:val="22"/>
        </w:rPr>
        <w:t> </w:t>
      </w:r>
    </w:p>
    <w:sectPr w:rsidR="00B72ADC" w:rsidRPr="0082509C" w:rsidSect="00AE3054">
      <w:pgSz w:w="12240" w:h="15840"/>
      <w:pgMar w:top="144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414"/>
    <w:multiLevelType w:val="hybridMultilevel"/>
    <w:tmpl w:val="ECB0DF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256323"/>
    <w:multiLevelType w:val="multilevel"/>
    <w:tmpl w:val="11D4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44C51"/>
    <w:multiLevelType w:val="hybridMultilevel"/>
    <w:tmpl w:val="E68E8E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A519A9"/>
    <w:multiLevelType w:val="multilevel"/>
    <w:tmpl w:val="62E2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267EC"/>
    <w:multiLevelType w:val="multilevel"/>
    <w:tmpl w:val="4DFE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133E3"/>
    <w:multiLevelType w:val="hybridMultilevel"/>
    <w:tmpl w:val="AB5A3734"/>
    <w:lvl w:ilvl="0" w:tplc="72D4A0E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27D26"/>
    <w:multiLevelType w:val="multilevel"/>
    <w:tmpl w:val="D03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C072D3"/>
    <w:multiLevelType w:val="hybridMultilevel"/>
    <w:tmpl w:val="CDC6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ED6184"/>
    <w:multiLevelType w:val="hybridMultilevel"/>
    <w:tmpl w:val="B79E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75747"/>
    <w:multiLevelType w:val="hybridMultilevel"/>
    <w:tmpl w:val="52CE02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4016632">
    <w:abstractNumId w:val="3"/>
  </w:num>
  <w:num w:numId="2" w16cid:durableId="1192718998">
    <w:abstractNumId w:val="6"/>
  </w:num>
  <w:num w:numId="3" w16cid:durableId="423915604">
    <w:abstractNumId w:val="4"/>
  </w:num>
  <w:num w:numId="4" w16cid:durableId="902368169">
    <w:abstractNumId w:val="1"/>
  </w:num>
  <w:num w:numId="5" w16cid:durableId="324087239">
    <w:abstractNumId w:val="9"/>
  </w:num>
  <w:num w:numId="6" w16cid:durableId="1131635608">
    <w:abstractNumId w:val="0"/>
  </w:num>
  <w:num w:numId="7" w16cid:durableId="1495490678">
    <w:abstractNumId w:val="5"/>
  </w:num>
  <w:num w:numId="8" w16cid:durableId="1154298171">
    <w:abstractNumId w:val="8"/>
  </w:num>
  <w:num w:numId="9" w16cid:durableId="1875921797">
    <w:abstractNumId w:val="7"/>
  </w:num>
  <w:num w:numId="10" w16cid:durableId="832988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DC"/>
    <w:rsid w:val="00147158"/>
    <w:rsid w:val="001C4F33"/>
    <w:rsid w:val="001D5C95"/>
    <w:rsid w:val="00561E86"/>
    <w:rsid w:val="005E1328"/>
    <w:rsid w:val="00732D51"/>
    <w:rsid w:val="0082509C"/>
    <w:rsid w:val="00850865"/>
    <w:rsid w:val="00AE3054"/>
    <w:rsid w:val="00B15D89"/>
    <w:rsid w:val="00B72ADC"/>
    <w:rsid w:val="00BE6FE6"/>
    <w:rsid w:val="00C627F9"/>
    <w:rsid w:val="00F30999"/>
    <w:rsid w:val="00F3299E"/>
    <w:rsid w:val="00F46C62"/>
    <w:rsid w:val="00F7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2F98"/>
  <w15:chartTrackingRefBased/>
  <w15:docId w15:val="{04F42A50-6A5F-4BD0-8A8A-7D589FB4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ADC"/>
    <w:rPr>
      <w:rFonts w:eastAsiaTheme="majorEastAsia" w:cstheme="majorBidi"/>
      <w:color w:val="272727" w:themeColor="text1" w:themeTint="D8"/>
    </w:rPr>
  </w:style>
  <w:style w:type="paragraph" w:styleId="Title">
    <w:name w:val="Title"/>
    <w:basedOn w:val="Normal"/>
    <w:next w:val="Normal"/>
    <w:link w:val="TitleChar"/>
    <w:uiPriority w:val="10"/>
    <w:qFormat/>
    <w:rsid w:val="00B72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ADC"/>
    <w:pPr>
      <w:spacing w:before="160"/>
      <w:jc w:val="center"/>
    </w:pPr>
    <w:rPr>
      <w:i/>
      <w:iCs/>
      <w:color w:val="404040" w:themeColor="text1" w:themeTint="BF"/>
    </w:rPr>
  </w:style>
  <w:style w:type="character" w:customStyle="1" w:styleId="QuoteChar">
    <w:name w:val="Quote Char"/>
    <w:basedOn w:val="DefaultParagraphFont"/>
    <w:link w:val="Quote"/>
    <w:uiPriority w:val="29"/>
    <w:rsid w:val="00B72ADC"/>
    <w:rPr>
      <w:i/>
      <w:iCs/>
      <w:color w:val="404040" w:themeColor="text1" w:themeTint="BF"/>
    </w:rPr>
  </w:style>
  <w:style w:type="paragraph" w:styleId="ListParagraph">
    <w:name w:val="List Paragraph"/>
    <w:basedOn w:val="Normal"/>
    <w:uiPriority w:val="34"/>
    <w:qFormat/>
    <w:rsid w:val="00B72ADC"/>
    <w:pPr>
      <w:ind w:left="720"/>
      <w:contextualSpacing/>
    </w:pPr>
  </w:style>
  <w:style w:type="character" w:styleId="IntenseEmphasis">
    <w:name w:val="Intense Emphasis"/>
    <w:basedOn w:val="DefaultParagraphFont"/>
    <w:uiPriority w:val="21"/>
    <w:qFormat/>
    <w:rsid w:val="00B72ADC"/>
    <w:rPr>
      <w:i/>
      <w:iCs/>
      <w:color w:val="0F4761" w:themeColor="accent1" w:themeShade="BF"/>
    </w:rPr>
  </w:style>
  <w:style w:type="paragraph" w:styleId="IntenseQuote">
    <w:name w:val="Intense Quote"/>
    <w:basedOn w:val="Normal"/>
    <w:next w:val="Normal"/>
    <w:link w:val="IntenseQuoteChar"/>
    <w:uiPriority w:val="30"/>
    <w:qFormat/>
    <w:rsid w:val="00B72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ADC"/>
    <w:rPr>
      <w:i/>
      <w:iCs/>
      <w:color w:val="0F4761" w:themeColor="accent1" w:themeShade="BF"/>
    </w:rPr>
  </w:style>
  <w:style w:type="character" w:styleId="IntenseReference">
    <w:name w:val="Intense Reference"/>
    <w:basedOn w:val="DefaultParagraphFont"/>
    <w:uiPriority w:val="32"/>
    <w:qFormat/>
    <w:rsid w:val="00B72ADC"/>
    <w:rPr>
      <w:b/>
      <w:bCs/>
      <w:smallCaps/>
      <w:color w:val="0F4761" w:themeColor="accent1" w:themeShade="BF"/>
      <w:spacing w:val="5"/>
    </w:rPr>
  </w:style>
  <w:style w:type="character" w:styleId="Hyperlink">
    <w:name w:val="Hyperlink"/>
    <w:basedOn w:val="DefaultParagraphFont"/>
    <w:uiPriority w:val="99"/>
    <w:unhideWhenUsed/>
    <w:rsid w:val="00B72ADC"/>
    <w:rPr>
      <w:color w:val="467886" w:themeColor="hyperlink"/>
      <w:u w:val="single"/>
    </w:rPr>
  </w:style>
  <w:style w:type="character" w:styleId="UnresolvedMention">
    <w:name w:val="Unresolved Mention"/>
    <w:basedOn w:val="DefaultParagraphFont"/>
    <w:uiPriority w:val="99"/>
    <w:semiHidden/>
    <w:unhideWhenUsed/>
    <w:rsid w:val="00B72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10197">
      <w:bodyDiv w:val="1"/>
      <w:marLeft w:val="0"/>
      <w:marRight w:val="0"/>
      <w:marTop w:val="0"/>
      <w:marBottom w:val="0"/>
      <w:divBdr>
        <w:top w:val="none" w:sz="0" w:space="0" w:color="auto"/>
        <w:left w:val="none" w:sz="0" w:space="0" w:color="auto"/>
        <w:bottom w:val="none" w:sz="0" w:space="0" w:color="auto"/>
        <w:right w:val="none" w:sz="0" w:space="0" w:color="auto"/>
      </w:divBdr>
      <w:divsChild>
        <w:div w:id="1776094122">
          <w:marLeft w:val="0"/>
          <w:marRight w:val="0"/>
          <w:marTop w:val="0"/>
          <w:marBottom w:val="0"/>
          <w:divBdr>
            <w:top w:val="none" w:sz="0" w:space="0" w:color="auto"/>
            <w:left w:val="none" w:sz="0" w:space="0" w:color="auto"/>
            <w:bottom w:val="none" w:sz="0" w:space="0" w:color="auto"/>
            <w:right w:val="none" w:sz="0" w:space="0" w:color="auto"/>
          </w:divBdr>
          <w:divsChild>
            <w:div w:id="404959315">
              <w:marLeft w:val="0"/>
              <w:marRight w:val="0"/>
              <w:marTop w:val="0"/>
              <w:marBottom w:val="0"/>
              <w:divBdr>
                <w:top w:val="none" w:sz="0" w:space="0" w:color="auto"/>
                <w:left w:val="none" w:sz="0" w:space="0" w:color="auto"/>
                <w:bottom w:val="none" w:sz="0" w:space="0" w:color="auto"/>
                <w:right w:val="none" w:sz="0" w:space="0" w:color="auto"/>
              </w:divBdr>
            </w:div>
          </w:divsChild>
        </w:div>
        <w:div w:id="1161048281">
          <w:marLeft w:val="0"/>
          <w:marRight w:val="0"/>
          <w:marTop w:val="0"/>
          <w:marBottom w:val="0"/>
          <w:divBdr>
            <w:top w:val="none" w:sz="0" w:space="0" w:color="auto"/>
            <w:left w:val="none" w:sz="0" w:space="0" w:color="auto"/>
            <w:bottom w:val="none" w:sz="0" w:space="0" w:color="auto"/>
            <w:right w:val="none" w:sz="0" w:space="0" w:color="auto"/>
          </w:divBdr>
          <w:divsChild>
            <w:div w:id="457989709">
              <w:marLeft w:val="0"/>
              <w:marRight w:val="0"/>
              <w:marTop w:val="360"/>
              <w:marBottom w:val="360"/>
              <w:divBdr>
                <w:top w:val="none" w:sz="0" w:space="0" w:color="auto"/>
                <w:left w:val="none" w:sz="0" w:space="0" w:color="auto"/>
                <w:bottom w:val="none" w:sz="0" w:space="0" w:color="auto"/>
                <w:right w:val="none" w:sz="0" w:space="0" w:color="auto"/>
              </w:divBdr>
              <w:divsChild>
                <w:div w:id="2041660708">
                  <w:marLeft w:val="0"/>
                  <w:marRight w:val="0"/>
                  <w:marTop w:val="0"/>
                  <w:marBottom w:val="0"/>
                  <w:divBdr>
                    <w:top w:val="none" w:sz="0" w:space="0" w:color="auto"/>
                    <w:left w:val="none" w:sz="0" w:space="0" w:color="auto"/>
                    <w:bottom w:val="none" w:sz="0" w:space="0" w:color="auto"/>
                    <w:right w:val="none" w:sz="0" w:space="0" w:color="auto"/>
                  </w:divBdr>
                  <w:divsChild>
                    <w:div w:id="2060351603">
                      <w:marLeft w:val="0"/>
                      <w:marRight w:val="0"/>
                      <w:marTop w:val="360"/>
                      <w:marBottom w:val="360"/>
                      <w:divBdr>
                        <w:top w:val="none" w:sz="0" w:space="0" w:color="auto"/>
                        <w:left w:val="none" w:sz="0" w:space="0" w:color="auto"/>
                        <w:bottom w:val="none" w:sz="0" w:space="0" w:color="auto"/>
                        <w:right w:val="none" w:sz="0" w:space="0" w:color="auto"/>
                      </w:divBdr>
                      <w:divsChild>
                        <w:div w:id="1927422524">
                          <w:marLeft w:val="0"/>
                          <w:marRight w:val="0"/>
                          <w:marTop w:val="0"/>
                          <w:marBottom w:val="0"/>
                          <w:divBdr>
                            <w:top w:val="none" w:sz="0" w:space="0" w:color="auto"/>
                            <w:left w:val="none" w:sz="0" w:space="0" w:color="auto"/>
                            <w:bottom w:val="none" w:sz="0" w:space="0" w:color="auto"/>
                            <w:right w:val="none" w:sz="0" w:space="0" w:color="auto"/>
                          </w:divBdr>
                        </w:div>
                        <w:div w:id="1807239606">
                          <w:marLeft w:val="0"/>
                          <w:marRight w:val="0"/>
                          <w:marTop w:val="0"/>
                          <w:marBottom w:val="45"/>
                          <w:divBdr>
                            <w:top w:val="none" w:sz="0" w:space="0" w:color="auto"/>
                            <w:left w:val="none" w:sz="0" w:space="0" w:color="auto"/>
                            <w:bottom w:val="none" w:sz="0" w:space="0" w:color="auto"/>
                            <w:right w:val="none" w:sz="0" w:space="0" w:color="auto"/>
                          </w:divBdr>
                        </w:div>
                        <w:div w:id="91248065">
                          <w:marLeft w:val="0"/>
                          <w:marRight w:val="0"/>
                          <w:marTop w:val="0"/>
                          <w:marBottom w:val="0"/>
                          <w:divBdr>
                            <w:top w:val="none" w:sz="0" w:space="0" w:color="auto"/>
                            <w:left w:val="none" w:sz="0" w:space="0" w:color="auto"/>
                            <w:bottom w:val="none" w:sz="0" w:space="0" w:color="auto"/>
                            <w:right w:val="none" w:sz="0" w:space="0" w:color="auto"/>
                          </w:divBdr>
                          <w:divsChild>
                            <w:div w:id="834539772">
                              <w:marLeft w:val="15"/>
                              <w:marRight w:val="0"/>
                              <w:marTop w:val="45"/>
                              <w:marBottom w:val="45"/>
                              <w:divBdr>
                                <w:top w:val="none" w:sz="0" w:space="0" w:color="auto"/>
                                <w:left w:val="none" w:sz="0" w:space="0" w:color="auto"/>
                                <w:bottom w:val="none" w:sz="0" w:space="0" w:color="auto"/>
                                <w:right w:val="none" w:sz="0" w:space="0" w:color="auto"/>
                              </w:divBdr>
                              <w:divsChild>
                                <w:div w:id="1757899034">
                                  <w:marLeft w:val="0"/>
                                  <w:marRight w:val="0"/>
                                  <w:marTop w:val="0"/>
                                  <w:marBottom w:val="0"/>
                                  <w:divBdr>
                                    <w:top w:val="none" w:sz="0" w:space="0" w:color="auto"/>
                                    <w:left w:val="none" w:sz="0" w:space="0" w:color="auto"/>
                                    <w:bottom w:val="none" w:sz="0" w:space="0" w:color="auto"/>
                                    <w:right w:val="none" w:sz="0" w:space="0" w:color="auto"/>
                                  </w:divBdr>
                                </w:div>
                              </w:divsChild>
                            </w:div>
                            <w:div w:id="1245413001">
                              <w:marLeft w:val="15"/>
                              <w:marRight w:val="0"/>
                              <w:marTop w:val="45"/>
                              <w:marBottom w:val="45"/>
                              <w:divBdr>
                                <w:top w:val="none" w:sz="0" w:space="0" w:color="auto"/>
                                <w:left w:val="none" w:sz="0" w:space="0" w:color="auto"/>
                                <w:bottom w:val="none" w:sz="0" w:space="0" w:color="auto"/>
                                <w:right w:val="none" w:sz="0" w:space="0" w:color="auto"/>
                              </w:divBdr>
                              <w:divsChild>
                                <w:div w:id="2746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474791">
          <w:marLeft w:val="0"/>
          <w:marRight w:val="0"/>
          <w:marTop w:val="0"/>
          <w:marBottom w:val="0"/>
          <w:divBdr>
            <w:top w:val="none" w:sz="0" w:space="0" w:color="auto"/>
            <w:left w:val="none" w:sz="0" w:space="0" w:color="auto"/>
            <w:bottom w:val="none" w:sz="0" w:space="0" w:color="auto"/>
            <w:right w:val="none" w:sz="0" w:space="0" w:color="auto"/>
          </w:divBdr>
          <w:divsChild>
            <w:div w:id="14204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3543">
      <w:bodyDiv w:val="1"/>
      <w:marLeft w:val="0"/>
      <w:marRight w:val="0"/>
      <w:marTop w:val="0"/>
      <w:marBottom w:val="0"/>
      <w:divBdr>
        <w:top w:val="none" w:sz="0" w:space="0" w:color="auto"/>
        <w:left w:val="none" w:sz="0" w:space="0" w:color="auto"/>
        <w:bottom w:val="none" w:sz="0" w:space="0" w:color="auto"/>
        <w:right w:val="none" w:sz="0" w:space="0" w:color="auto"/>
      </w:divBdr>
      <w:divsChild>
        <w:div w:id="191114496">
          <w:marLeft w:val="0"/>
          <w:marRight w:val="0"/>
          <w:marTop w:val="0"/>
          <w:marBottom w:val="0"/>
          <w:divBdr>
            <w:top w:val="none" w:sz="0" w:space="0" w:color="auto"/>
            <w:left w:val="none" w:sz="0" w:space="0" w:color="auto"/>
            <w:bottom w:val="none" w:sz="0" w:space="0" w:color="auto"/>
            <w:right w:val="none" w:sz="0" w:space="0" w:color="auto"/>
          </w:divBdr>
          <w:divsChild>
            <w:div w:id="903415679">
              <w:marLeft w:val="0"/>
              <w:marRight w:val="0"/>
              <w:marTop w:val="0"/>
              <w:marBottom w:val="0"/>
              <w:divBdr>
                <w:top w:val="none" w:sz="0" w:space="0" w:color="auto"/>
                <w:left w:val="none" w:sz="0" w:space="0" w:color="auto"/>
                <w:bottom w:val="none" w:sz="0" w:space="0" w:color="auto"/>
                <w:right w:val="none" w:sz="0" w:space="0" w:color="auto"/>
              </w:divBdr>
            </w:div>
          </w:divsChild>
        </w:div>
        <w:div w:id="752557157">
          <w:marLeft w:val="0"/>
          <w:marRight w:val="0"/>
          <w:marTop w:val="0"/>
          <w:marBottom w:val="0"/>
          <w:divBdr>
            <w:top w:val="none" w:sz="0" w:space="0" w:color="auto"/>
            <w:left w:val="none" w:sz="0" w:space="0" w:color="auto"/>
            <w:bottom w:val="none" w:sz="0" w:space="0" w:color="auto"/>
            <w:right w:val="none" w:sz="0" w:space="0" w:color="auto"/>
          </w:divBdr>
          <w:divsChild>
            <w:div w:id="524486564">
              <w:marLeft w:val="0"/>
              <w:marRight w:val="0"/>
              <w:marTop w:val="360"/>
              <w:marBottom w:val="360"/>
              <w:divBdr>
                <w:top w:val="none" w:sz="0" w:space="0" w:color="auto"/>
                <w:left w:val="none" w:sz="0" w:space="0" w:color="auto"/>
                <w:bottom w:val="none" w:sz="0" w:space="0" w:color="auto"/>
                <w:right w:val="none" w:sz="0" w:space="0" w:color="auto"/>
              </w:divBdr>
              <w:divsChild>
                <w:div w:id="1122578189">
                  <w:marLeft w:val="0"/>
                  <w:marRight w:val="0"/>
                  <w:marTop w:val="0"/>
                  <w:marBottom w:val="0"/>
                  <w:divBdr>
                    <w:top w:val="none" w:sz="0" w:space="0" w:color="auto"/>
                    <w:left w:val="none" w:sz="0" w:space="0" w:color="auto"/>
                    <w:bottom w:val="none" w:sz="0" w:space="0" w:color="auto"/>
                    <w:right w:val="none" w:sz="0" w:space="0" w:color="auto"/>
                  </w:divBdr>
                  <w:divsChild>
                    <w:div w:id="1374430372">
                      <w:marLeft w:val="0"/>
                      <w:marRight w:val="0"/>
                      <w:marTop w:val="360"/>
                      <w:marBottom w:val="360"/>
                      <w:divBdr>
                        <w:top w:val="none" w:sz="0" w:space="0" w:color="auto"/>
                        <w:left w:val="none" w:sz="0" w:space="0" w:color="auto"/>
                        <w:bottom w:val="none" w:sz="0" w:space="0" w:color="auto"/>
                        <w:right w:val="none" w:sz="0" w:space="0" w:color="auto"/>
                      </w:divBdr>
                      <w:divsChild>
                        <w:div w:id="1793401949">
                          <w:marLeft w:val="0"/>
                          <w:marRight w:val="0"/>
                          <w:marTop w:val="0"/>
                          <w:marBottom w:val="0"/>
                          <w:divBdr>
                            <w:top w:val="none" w:sz="0" w:space="0" w:color="auto"/>
                            <w:left w:val="none" w:sz="0" w:space="0" w:color="auto"/>
                            <w:bottom w:val="none" w:sz="0" w:space="0" w:color="auto"/>
                            <w:right w:val="none" w:sz="0" w:space="0" w:color="auto"/>
                          </w:divBdr>
                        </w:div>
                        <w:div w:id="299118565">
                          <w:marLeft w:val="0"/>
                          <w:marRight w:val="0"/>
                          <w:marTop w:val="0"/>
                          <w:marBottom w:val="45"/>
                          <w:divBdr>
                            <w:top w:val="none" w:sz="0" w:space="0" w:color="auto"/>
                            <w:left w:val="none" w:sz="0" w:space="0" w:color="auto"/>
                            <w:bottom w:val="none" w:sz="0" w:space="0" w:color="auto"/>
                            <w:right w:val="none" w:sz="0" w:space="0" w:color="auto"/>
                          </w:divBdr>
                        </w:div>
                        <w:div w:id="2113822669">
                          <w:marLeft w:val="0"/>
                          <w:marRight w:val="0"/>
                          <w:marTop w:val="0"/>
                          <w:marBottom w:val="0"/>
                          <w:divBdr>
                            <w:top w:val="none" w:sz="0" w:space="0" w:color="auto"/>
                            <w:left w:val="none" w:sz="0" w:space="0" w:color="auto"/>
                            <w:bottom w:val="none" w:sz="0" w:space="0" w:color="auto"/>
                            <w:right w:val="none" w:sz="0" w:space="0" w:color="auto"/>
                          </w:divBdr>
                          <w:divsChild>
                            <w:div w:id="243151129">
                              <w:marLeft w:val="15"/>
                              <w:marRight w:val="0"/>
                              <w:marTop w:val="45"/>
                              <w:marBottom w:val="45"/>
                              <w:divBdr>
                                <w:top w:val="none" w:sz="0" w:space="0" w:color="auto"/>
                                <w:left w:val="none" w:sz="0" w:space="0" w:color="auto"/>
                                <w:bottom w:val="none" w:sz="0" w:space="0" w:color="auto"/>
                                <w:right w:val="none" w:sz="0" w:space="0" w:color="auto"/>
                              </w:divBdr>
                              <w:divsChild>
                                <w:div w:id="58288639">
                                  <w:marLeft w:val="0"/>
                                  <w:marRight w:val="0"/>
                                  <w:marTop w:val="0"/>
                                  <w:marBottom w:val="0"/>
                                  <w:divBdr>
                                    <w:top w:val="none" w:sz="0" w:space="0" w:color="auto"/>
                                    <w:left w:val="none" w:sz="0" w:space="0" w:color="auto"/>
                                    <w:bottom w:val="none" w:sz="0" w:space="0" w:color="auto"/>
                                    <w:right w:val="none" w:sz="0" w:space="0" w:color="auto"/>
                                  </w:divBdr>
                                </w:div>
                              </w:divsChild>
                            </w:div>
                            <w:div w:id="1779986033">
                              <w:marLeft w:val="15"/>
                              <w:marRight w:val="0"/>
                              <w:marTop w:val="45"/>
                              <w:marBottom w:val="45"/>
                              <w:divBdr>
                                <w:top w:val="none" w:sz="0" w:space="0" w:color="auto"/>
                                <w:left w:val="none" w:sz="0" w:space="0" w:color="auto"/>
                                <w:bottom w:val="none" w:sz="0" w:space="0" w:color="auto"/>
                                <w:right w:val="none" w:sz="0" w:space="0" w:color="auto"/>
                              </w:divBdr>
                              <w:divsChild>
                                <w:div w:id="6793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642635">
          <w:marLeft w:val="0"/>
          <w:marRight w:val="0"/>
          <w:marTop w:val="0"/>
          <w:marBottom w:val="0"/>
          <w:divBdr>
            <w:top w:val="none" w:sz="0" w:space="0" w:color="auto"/>
            <w:left w:val="none" w:sz="0" w:space="0" w:color="auto"/>
            <w:bottom w:val="none" w:sz="0" w:space="0" w:color="auto"/>
            <w:right w:val="none" w:sz="0" w:space="0" w:color="auto"/>
          </w:divBdr>
          <w:divsChild>
            <w:div w:id="2863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e.upmc.com/copyrightandprivacy" TargetMode="External"/><Relationship Id="rId3" Type="http://schemas.openxmlformats.org/officeDocument/2006/relationships/settings" Target="settings.xml"/><Relationship Id="rId7" Type="http://schemas.openxmlformats.org/officeDocument/2006/relationships/hyperlink" Target="https://cce.upmc.com/recorded-cont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e.upmc.com/admin/structure/entity-type/course_application/course_application/add" TargetMode="External"/><Relationship Id="rId11" Type="http://schemas.openxmlformats.org/officeDocument/2006/relationships/theme" Target="theme/theme1.xml"/><Relationship Id="rId5" Type="http://schemas.openxmlformats.org/officeDocument/2006/relationships/hyperlink" Target="http://cce.upm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ce.upmc.com/content/enduring-material-renewalrevision-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Splane, Melinda</dc:creator>
  <cp:keywords/>
  <dc:description/>
  <cp:lastModifiedBy>Splane, Melinda</cp:lastModifiedBy>
  <cp:revision>6</cp:revision>
  <dcterms:created xsi:type="dcterms:W3CDTF">2025-02-15T17:47:00Z</dcterms:created>
  <dcterms:modified xsi:type="dcterms:W3CDTF">2025-06-24T16:13:00Z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2025-02-14T16:37:15Z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0dbe419a-62aa-4caa-82dc-d35238d29b0b</vt:lpwstr>
  </property>
  <property fmtid="{D5CDD505-2E9C-101B-9397-08002B2CF9AE}" pid="8" name="MSIP_Label_5e4b1be8-281e-475d-98b0-21c3457e5a46_ContentBits">
    <vt:lpwstr>0</vt:lpwstr>
  </property>
</Properties>
</file>